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color w:val="000000"/>
        </w:rPr>
      </w:pPr>
    </w:p>
    <w:p>
      <w:pPr>
        <w:rPr>
          <w:color w:val="000000"/>
        </w:rPr>
      </w:pPr>
    </w:p>
    <w:p>
      <w:pPr>
        <w:rPr>
          <w:color w:val="000000"/>
        </w:rPr>
      </w:pPr>
    </w:p>
    <w:p>
      <w:pPr>
        <w:jc w:val="center"/>
        <w:rPr>
          <w:color w:val="000000"/>
        </w:rPr>
      </w:pPr>
      <w:r>
        <w:rPr>
          <w:rFonts w:eastAsia="黑体"/>
          <w:color w:val="000000"/>
          <w:sz w:val="48"/>
          <w:szCs w:val="48"/>
        </w:rPr>
        <w:t xml:space="preserve"> 建设项目环境影响报告表</w:t>
      </w:r>
    </w:p>
    <w:p>
      <w:pPr>
        <w:jc w:val="center"/>
        <w:rPr>
          <w:rFonts w:hint="eastAsia" w:eastAsia="宋体"/>
          <w:color w:val="000000"/>
          <w:lang w:eastAsia="zh-CN"/>
        </w:rPr>
      </w:pPr>
      <w:r>
        <w:rPr>
          <w:rFonts w:hint="eastAsia"/>
          <w:color w:val="000000"/>
          <w:lang w:eastAsia="zh-CN"/>
        </w:rPr>
        <w:t>（</w:t>
      </w:r>
      <w:r>
        <w:rPr>
          <w:rFonts w:hint="eastAsia"/>
          <w:color w:val="000000"/>
          <w:lang w:val="en-US" w:eastAsia="zh-CN"/>
        </w:rPr>
        <w:t>全本公示稿</w:t>
      </w:r>
      <w:r>
        <w:rPr>
          <w:rFonts w:hint="eastAsia"/>
          <w:color w:val="000000"/>
          <w:lang w:eastAsia="zh-CN"/>
        </w:rPr>
        <w:t>）</w:t>
      </w:r>
    </w:p>
    <w:p>
      <w:pPr>
        <w:jc w:val="center"/>
        <w:rPr>
          <w:rFonts w:hint="eastAsia"/>
          <w:color w:val="000000"/>
        </w:rPr>
      </w:pPr>
    </w:p>
    <w:p>
      <w:pPr>
        <w:jc w:val="center"/>
        <w:rPr>
          <w:color w:val="000000"/>
        </w:rPr>
      </w:pPr>
      <w:bookmarkStart w:id="15" w:name="_GoBack"/>
      <w:bookmarkEnd w:id="15"/>
    </w:p>
    <w:p>
      <w:pPr>
        <w:jc w:val="center"/>
        <w:rPr>
          <w:color w:val="000000"/>
        </w:rPr>
      </w:pPr>
    </w:p>
    <w:p>
      <w:pPr>
        <w:spacing w:before="312" w:beforeLines="100"/>
        <w:jc w:val="center"/>
        <w:rPr>
          <w:rFonts w:hint="eastAsia"/>
          <w:color w:val="000000"/>
          <w:sz w:val="32"/>
          <w:szCs w:val="32"/>
          <w:u w:val="single"/>
        </w:rPr>
      </w:pPr>
      <w:r>
        <w:rPr>
          <w:color w:val="000000"/>
          <w:sz w:val="32"/>
          <w:szCs w:val="32"/>
        </w:rPr>
        <w:t xml:space="preserve">项 目 名 称： </w:t>
      </w:r>
      <w:r>
        <w:rPr>
          <w:rFonts w:hint="eastAsia"/>
          <w:color w:val="000000"/>
          <w:sz w:val="32"/>
          <w:szCs w:val="32"/>
          <w:u w:val="single"/>
        </w:rPr>
        <w:t>民聚德仓库建设项目</w:t>
      </w:r>
    </w:p>
    <w:p>
      <w:pPr>
        <w:spacing w:before="312" w:beforeLines="100"/>
        <w:ind w:left="1619" w:hanging="1619" w:hangingChars="506"/>
        <w:jc w:val="center"/>
        <w:rPr>
          <w:color w:val="000000"/>
          <w:sz w:val="32"/>
          <w:szCs w:val="32"/>
        </w:rPr>
      </w:pPr>
      <w:r>
        <w:rPr>
          <w:color w:val="000000"/>
          <w:sz w:val="32"/>
          <w:szCs w:val="32"/>
        </w:rPr>
        <w:t>建设单位(盖章)：</w:t>
      </w:r>
      <w:r>
        <w:rPr>
          <w:rFonts w:hint="eastAsia"/>
          <w:color w:val="000000"/>
          <w:sz w:val="32"/>
          <w:szCs w:val="32"/>
          <w:u w:val="single" w:color="auto"/>
          <w:lang w:val="en-US" w:eastAsia="zh-CN"/>
        </w:rPr>
        <w:t xml:space="preserve">  南京民聚德合金有限责任公司</w:t>
      </w:r>
      <w:r>
        <w:rPr>
          <w:rFonts w:hint="eastAsia"/>
          <w:color w:val="000000"/>
          <w:sz w:val="32"/>
          <w:szCs w:val="32"/>
          <w:u w:val="single"/>
          <w:lang w:val="en-US" w:eastAsia="zh-CN"/>
        </w:rPr>
        <w:t xml:space="preserve">  </w:t>
      </w:r>
    </w:p>
    <w:p>
      <w:pPr>
        <w:ind w:left="1619" w:hanging="1619" w:hangingChars="506"/>
        <w:rPr>
          <w:color w:val="000000"/>
          <w:sz w:val="32"/>
          <w:szCs w:val="32"/>
        </w:rPr>
      </w:pPr>
    </w:p>
    <w:p>
      <w:pPr>
        <w:ind w:left="1619" w:hanging="1619" w:hangingChars="506"/>
        <w:rPr>
          <w:color w:val="000000"/>
          <w:sz w:val="32"/>
          <w:szCs w:val="32"/>
        </w:rPr>
      </w:pPr>
    </w:p>
    <w:p>
      <w:pPr>
        <w:ind w:left="1619" w:hanging="1619" w:hangingChars="506"/>
        <w:rPr>
          <w:color w:val="000000"/>
          <w:sz w:val="32"/>
          <w:szCs w:val="32"/>
        </w:rPr>
      </w:pPr>
    </w:p>
    <w:p>
      <w:pPr>
        <w:ind w:left="1619" w:hanging="1619" w:hangingChars="506"/>
        <w:rPr>
          <w:color w:val="000000"/>
          <w:sz w:val="32"/>
          <w:szCs w:val="32"/>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sz w:val="28"/>
          <w:szCs w:val="28"/>
        </w:rPr>
      </w:pPr>
      <w:r>
        <w:rPr>
          <w:color w:val="000000"/>
          <w:sz w:val="28"/>
          <w:szCs w:val="28"/>
        </w:rPr>
        <w:t>编制日期：20</w:t>
      </w:r>
      <w:r>
        <w:rPr>
          <w:rFonts w:hint="eastAsia"/>
          <w:color w:val="000000"/>
          <w:sz w:val="28"/>
          <w:szCs w:val="28"/>
        </w:rPr>
        <w:t>1</w:t>
      </w:r>
      <w:r>
        <w:rPr>
          <w:rFonts w:hint="eastAsia"/>
          <w:color w:val="000000"/>
          <w:sz w:val="28"/>
          <w:szCs w:val="28"/>
          <w:lang w:val="en-US" w:eastAsia="zh-CN"/>
        </w:rPr>
        <w:t>5</w:t>
      </w:r>
      <w:r>
        <w:rPr>
          <w:color w:val="000000"/>
          <w:sz w:val="28"/>
          <w:szCs w:val="28"/>
        </w:rPr>
        <w:t>年</w:t>
      </w:r>
      <w:r>
        <w:rPr>
          <w:rFonts w:hint="eastAsia"/>
          <w:color w:val="000000"/>
          <w:sz w:val="28"/>
          <w:szCs w:val="28"/>
          <w:lang w:val="en-US" w:eastAsia="zh-CN"/>
        </w:rPr>
        <w:t>1</w:t>
      </w:r>
      <w:r>
        <w:rPr>
          <w:color w:val="000000"/>
          <w:sz w:val="28"/>
          <w:szCs w:val="28"/>
        </w:rPr>
        <w:t>月</w:t>
      </w:r>
    </w:p>
    <w:p>
      <w:pPr>
        <w:jc w:val="center"/>
        <w:rPr>
          <w:color w:val="000000"/>
          <w:sz w:val="28"/>
          <w:szCs w:val="28"/>
        </w:rPr>
      </w:pPr>
      <w:r>
        <w:rPr>
          <w:color w:val="000000"/>
          <w:sz w:val="28"/>
          <w:szCs w:val="28"/>
        </w:rPr>
        <w:t>江苏省环保厅制</w:t>
      </w:r>
    </w:p>
    <w:p>
      <w:pPr>
        <w:jc w:val="both"/>
        <w:rPr>
          <w:b/>
          <w:bCs/>
          <w:sz w:val="30"/>
          <w:szCs w:val="30"/>
        </w:rPr>
      </w:pPr>
    </w:p>
    <w:p>
      <w:pPr>
        <w:jc w:val="both"/>
        <w:rPr>
          <w:b/>
          <w:bCs/>
          <w:sz w:val="30"/>
          <w:szCs w:val="30"/>
        </w:rPr>
      </w:pPr>
    </w:p>
    <w:p>
      <w:pPr>
        <w:jc w:val="center"/>
        <w:rPr>
          <w:b/>
          <w:bCs/>
          <w:sz w:val="30"/>
          <w:szCs w:val="30"/>
        </w:rPr>
        <w:sectPr>
          <w:headerReference r:id="rId5" w:type="first"/>
          <w:footerReference r:id="rId8" w:type="first"/>
          <w:headerReference r:id="rId3" w:type="default"/>
          <w:footerReference r:id="rId6" w:type="default"/>
          <w:headerReference r:id="rId4" w:type="even"/>
          <w:footerReference r:id="rId7" w:type="even"/>
          <w:pgSz w:w="11907" w:h="16840"/>
          <w:pgMar w:top="1418" w:right="1418" w:bottom="1418" w:left="1418" w:header="964" w:footer="720" w:gutter="0"/>
          <w:pgNumType w:start="1"/>
          <w:cols w:space="720" w:num="1"/>
          <w:titlePg/>
          <w:docGrid w:type="linesAndChars" w:linePitch="285" w:charSpace="0"/>
        </w:sectPr>
      </w:pPr>
    </w:p>
    <w:p>
      <w:pPr>
        <w:jc w:val="center"/>
        <w:rPr>
          <w:b/>
          <w:bCs/>
          <w:sz w:val="30"/>
          <w:szCs w:val="30"/>
        </w:rPr>
      </w:pPr>
      <w:r>
        <w:rPr>
          <w:b/>
          <w:bCs/>
          <w:sz w:val="30"/>
          <w:szCs w:val="30"/>
        </w:rPr>
        <w:t>《建设项目环境影响报告表》编制说明</w:t>
      </w:r>
    </w:p>
    <w:p>
      <w:pPr>
        <w:rPr>
          <w:sz w:val="24"/>
          <w:szCs w:val="24"/>
        </w:rPr>
      </w:pPr>
    </w:p>
    <w:p>
      <w:pPr>
        <w:spacing w:line="480" w:lineRule="auto"/>
        <w:ind w:firstLine="600"/>
        <w:rPr>
          <w:sz w:val="24"/>
          <w:szCs w:val="24"/>
        </w:rPr>
      </w:pPr>
      <w:r>
        <w:rPr>
          <w:sz w:val="24"/>
          <w:szCs w:val="24"/>
        </w:rPr>
        <w:t>《建设项目环境影响报告表》由具有从事环境影响评价工作资质的单位编制。</w:t>
      </w:r>
    </w:p>
    <w:p>
      <w:pPr>
        <w:numPr>
          <w:ilvl w:val="0"/>
          <w:numId w:val="1"/>
        </w:numPr>
        <w:spacing w:line="480" w:lineRule="auto"/>
        <w:rPr>
          <w:sz w:val="24"/>
          <w:szCs w:val="24"/>
        </w:rPr>
      </w:pPr>
      <w:r>
        <w:rPr>
          <w:sz w:val="24"/>
          <w:szCs w:val="24"/>
        </w:rPr>
        <w:t>项目名称……指项目立项批复时的名称，应不超过30个字（两个英文字段作一个汉字）。</w:t>
      </w:r>
    </w:p>
    <w:p>
      <w:pPr>
        <w:numPr>
          <w:ilvl w:val="0"/>
          <w:numId w:val="1"/>
        </w:numPr>
        <w:rPr>
          <w:sz w:val="24"/>
          <w:szCs w:val="24"/>
        </w:rPr>
      </w:pPr>
      <w:r>
        <w:rPr>
          <w:sz w:val="24"/>
          <w:szCs w:val="24"/>
        </w:rPr>
        <w:t>建设地点……指项目所在地详细地址，公路、铁路应填写起止地点。</w:t>
      </w:r>
    </w:p>
    <w:p>
      <w:pPr>
        <w:numPr>
          <w:ilvl w:val="0"/>
          <w:numId w:val="1"/>
        </w:numPr>
        <w:rPr>
          <w:sz w:val="24"/>
          <w:szCs w:val="24"/>
        </w:rPr>
      </w:pPr>
      <w:r>
        <w:rPr>
          <w:sz w:val="24"/>
          <w:szCs w:val="24"/>
        </w:rPr>
        <w:t>行业类别……按国标填写。</w:t>
      </w:r>
    </w:p>
    <w:p>
      <w:pPr>
        <w:numPr>
          <w:ilvl w:val="0"/>
          <w:numId w:val="1"/>
        </w:numPr>
        <w:rPr>
          <w:sz w:val="24"/>
          <w:szCs w:val="24"/>
        </w:rPr>
      </w:pPr>
      <w:r>
        <w:rPr>
          <w:sz w:val="24"/>
          <w:szCs w:val="24"/>
        </w:rPr>
        <w:t>总投资……指项目投资总额。</w:t>
      </w:r>
    </w:p>
    <w:p>
      <w:pPr>
        <w:numPr>
          <w:ilvl w:val="0"/>
          <w:numId w:val="1"/>
        </w:numPr>
        <w:rPr>
          <w:sz w:val="24"/>
          <w:szCs w:val="24"/>
        </w:rPr>
      </w:pPr>
      <w:r>
        <w:rPr>
          <w:sz w:val="24"/>
          <w:szCs w:val="24"/>
        </w:rPr>
        <w:t>主要环境保护目标……指项目区周围一定范围内集中居民住宅区、学校、医院、保护文物、风景名胜区、水源地和生态敏感点等，应尽可能给出保护目标、性质、规模和距厂界距离等。</w:t>
      </w:r>
    </w:p>
    <w:p>
      <w:pPr>
        <w:numPr>
          <w:ilvl w:val="0"/>
          <w:numId w:val="1"/>
        </w:numPr>
        <w:rPr>
          <w:sz w:val="24"/>
          <w:szCs w:val="24"/>
        </w:rPr>
      </w:pPr>
      <w:r>
        <w:rPr>
          <w:sz w:val="24"/>
          <w:szCs w:val="24"/>
        </w:rPr>
        <w:t>结论与建议……给出本项目清洁生产、达标排放和总量控制的分析结论，确定污染防治措施的有效性，说明本项目对环境造成的影响，给出建设项目环境可行性的明确结论。同时提出减少环境影响的其它建议。</w:t>
      </w:r>
    </w:p>
    <w:p>
      <w:pPr>
        <w:numPr>
          <w:ilvl w:val="0"/>
          <w:numId w:val="1"/>
        </w:numPr>
        <w:rPr>
          <w:sz w:val="24"/>
          <w:szCs w:val="24"/>
        </w:rPr>
      </w:pPr>
      <w:r>
        <w:rPr>
          <w:sz w:val="24"/>
          <w:szCs w:val="24"/>
        </w:rPr>
        <w:t>预审意见……由行业主管部门填写答复意见，无主管部门项目，可不填。</w:t>
      </w:r>
    </w:p>
    <w:p>
      <w:pPr>
        <w:numPr>
          <w:ilvl w:val="0"/>
          <w:numId w:val="1"/>
        </w:numPr>
        <w:rPr>
          <w:sz w:val="24"/>
          <w:szCs w:val="24"/>
        </w:rPr>
      </w:pPr>
      <w:r>
        <w:rPr>
          <w:sz w:val="24"/>
          <w:szCs w:val="24"/>
        </w:rPr>
        <w:t>审批意见……由负责审批该项目的环境保护行政主管部门批复。</w:t>
      </w:r>
    </w:p>
    <w:p>
      <w:pPr>
        <w:ind w:left="600"/>
        <w:rPr>
          <w:sz w:val="24"/>
          <w:szCs w:val="24"/>
        </w:rPr>
        <w:sectPr>
          <w:footerReference r:id="rId10" w:type="first"/>
          <w:footerReference r:id="rId9" w:type="default"/>
          <w:pgSz w:w="11907" w:h="16840"/>
          <w:pgMar w:top="1418" w:right="1418" w:bottom="1418" w:left="1418" w:header="964" w:footer="720" w:gutter="0"/>
          <w:pgNumType w:fmt="decimal" w:start="1"/>
          <w:cols w:space="720" w:num="1"/>
          <w:titlePg/>
          <w:docGrid w:type="linesAndChars" w:linePitch="285" w:charSpace="0"/>
        </w:sectPr>
      </w:pPr>
    </w:p>
    <w:p>
      <w:pPr>
        <w:outlineLvl w:val="0"/>
        <w:rPr>
          <w:b/>
          <w:szCs w:val="28"/>
        </w:rPr>
      </w:pPr>
      <w:r>
        <w:rPr>
          <w:b/>
          <w:szCs w:val="28"/>
        </w:rPr>
        <w:t>一、建设项目基本情况</w:t>
      </w:r>
    </w:p>
    <w:tbl>
      <w:tblPr>
        <w:tblStyle w:val="34"/>
        <w:tblW w:w="9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290"/>
        <w:gridCol w:w="190"/>
        <w:gridCol w:w="1143"/>
        <w:gridCol w:w="689"/>
        <w:gridCol w:w="105"/>
        <w:gridCol w:w="45"/>
        <w:gridCol w:w="66"/>
        <w:gridCol w:w="226"/>
        <w:gridCol w:w="20"/>
        <w:gridCol w:w="571"/>
        <w:gridCol w:w="242"/>
        <w:gridCol w:w="339"/>
        <w:gridCol w:w="684"/>
        <w:gridCol w:w="337"/>
        <w:gridCol w:w="203"/>
        <w:gridCol w:w="1245"/>
        <w:gridCol w:w="203"/>
        <w:gridCol w:w="80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exact"/>
          <w:jc w:val="center"/>
        </w:trPr>
        <w:tc>
          <w:tcPr>
            <w:tcW w:w="2161" w:type="dxa"/>
            <w:gridSpan w:val="3"/>
            <w:tcBorders>
              <w:top w:val="single" w:color="auto" w:sz="8" w:space="0"/>
              <w:left w:val="single" w:color="auto" w:sz="8" w:space="0"/>
            </w:tcBorders>
            <w:vAlign w:val="center"/>
          </w:tcPr>
          <w:p>
            <w:pPr>
              <w:spacing w:line="216" w:lineRule="auto"/>
              <w:jc w:val="center"/>
              <w:rPr>
                <w:sz w:val="24"/>
                <w:szCs w:val="24"/>
              </w:rPr>
            </w:pPr>
            <w:r>
              <w:rPr>
                <w:sz w:val="24"/>
                <w:szCs w:val="24"/>
              </w:rPr>
              <w:t>项目名称</w:t>
            </w:r>
          </w:p>
        </w:tc>
        <w:tc>
          <w:tcPr>
            <w:tcW w:w="6935" w:type="dxa"/>
            <w:gridSpan w:val="17"/>
            <w:tcBorders>
              <w:top w:val="single" w:color="auto" w:sz="8" w:space="0"/>
              <w:right w:val="single" w:color="auto" w:sz="8" w:space="0"/>
            </w:tcBorders>
            <w:vAlign w:val="center"/>
          </w:tcPr>
          <w:p>
            <w:pPr>
              <w:snapToGrid w:val="0"/>
              <w:jc w:val="center"/>
              <w:rPr>
                <w:sz w:val="24"/>
              </w:rPr>
            </w:pPr>
            <w:r>
              <w:rPr>
                <w:rFonts w:hint="eastAsia"/>
                <w:sz w:val="24"/>
              </w:rPr>
              <w:t>民聚德仓库建设项目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2161" w:type="dxa"/>
            <w:gridSpan w:val="3"/>
            <w:tcBorders>
              <w:left w:val="single" w:color="auto" w:sz="8" w:space="0"/>
            </w:tcBorders>
            <w:vAlign w:val="center"/>
          </w:tcPr>
          <w:p>
            <w:pPr>
              <w:spacing w:line="216" w:lineRule="auto"/>
              <w:jc w:val="center"/>
              <w:rPr>
                <w:sz w:val="24"/>
                <w:szCs w:val="24"/>
                <w:lang w:eastAsia="zh-TW"/>
              </w:rPr>
            </w:pPr>
            <w:r>
              <w:rPr>
                <w:sz w:val="24"/>
                <w:szCs w:val="24"/>
                <w:lang w:eastAsia="zh-TW"/>
              </w:rPr>
              <w:t>建设单位</w:t>
            </w:r>
          </w:p>
        </w:tc>
        <w:tc>
          <w:tcPr>
            <w:tcW w:w="6935" w:type="dxa"/>
            <w:gridSpan w:val="17"/>
            <w:tcBorders>
              <w:right w:val="single" w:color="auto" w:sz="8" w:space="0"/>
            </w:tcBorders>
            <w:vAlign w:val="center"/>
          </w:tcPr>
          <w:p>
            <w:pPr>
              <w:snapToGrid w:val="0"/>
              <w:jc w:val="center"/>
              <w:rPr>
                <w:rFonts w:hint="eastAsia"/>
                <w:sz w:val="24"/>
              </w:rPr>
            </w:pPr>
            <w:r>
              <w:rPr>
                <w:rFonts w:hint="eastAsia"/>
                <w:sz w:val="24"/>
              </w:rPr>
              <w:t>南京民聚德合金有限责任公司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法人代表</w:t>
            </w:r>
          </w:p>
        </w:tc>
        <w:tc>
          <w:tcPr>
            <w:tcW w:w="3107" w:type="dxa"/>
            <w:gridSpan w:val="9"/>
            <w:vAlign w:val="center"/>
          </w:tcPr>
          <w:p>
            <w:pPr>
              <w:jc w:val="center"/>
              <w:rPr>
                <w:sz w:val="24"/>
                <w:szCs w:val="24"/>
              </w:rPr>
            </w:pPr>
            <w:r>
              <w:rPr>
                <w:rFonts w:hint="eastAsia"/>
                <w:sz w:val="24"/>
                <w:szCs w:val="24"/>
              </w:rPr>
              <w:t>蔡永胜</w:t>
            </w:r>
          </w:p>
        </w:tc>
        <w:tc>
          <w:tcPr>
            <w:tcW w:w="1360" w:type="dxa"/>
            <w:gridSpan w:val="3"/>
            <w:vAlign w:val="center"/>
          </w:tcPr>
          <w:p>
            <w:pPr>
              <w:jc w:val="center"/>
              <w:rPr>
                <w:sz w:val="24"/>
                <w:szCs w:val="24"/>
              </w:rPr>
            </w:pPr>
            <w:r>
              <w:rPr>
                <w:sz w:val="24"/>
                <w:szCs w:val="24"/>
              </w:rPr>
              <w:t>联系人</w:t>
            </w:r>
          </w:p>
        </w:tc>
        <w:tc>
          <w:tcPr>
            <w:tcW w:w="2468" w:type="dxa"/>
            <w:gridSpan w:val="5"/>
            <w:tcBorders>
              <w:right w:val="single" w:color="auto" w:sz="8" w:space="0"/>
            </w:tcBorders>
            <w:vAlign w:val="center"/>
          </w:tcPr>
          <w:p>
            <w:pPr>
              <w:jc w:val="center"/>
              <w:rPr>
                <w:sz w:val="24"/>
                <w:szCs w:val="24"/>
              </w:rPr>
            </w:pPr>
            <w:r>
              <w:rPr>
                <w:rFonts w:hint="eastAsia"/>
                <w:sz w:val="24"/>
                <w:szCs w:val="24"/>
              </w:rPr>
              <w:t>薛文杰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通讯地址</w:t>
            </w:r>
          </w:p>
        </w:tc>
        <w:tc>
          <w:tcPr>
            <w:tcW w:w="6935" w:type="dxa"/>
            <w:gridSpan w:val="17"/>
            <w:tcBorders>
              <w:right w:val="single" w:color="auto" w:sz="8" w:space="0"/>
            </w:tcBorders>
            <w:vAlign w:val="center"/>
          </w:tcPr>
          <w:p>
            <w:pPr>
              <w:jc w:val="center"/>
              <w:rPr>
                <w:sz w:val="24"/>
                <w:szCs w:val="24"/>
              </w:rPr>
            </w:pPr>
            <w:r>
              <w:rPr>
                <w:rFonts w:hint="eastAsia"/>
                <w:sz w:val="24"/>
              </w:rPr>
              <w:t>南京市栖霞区尧化街道吴边社区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联系电话</w:t>
            </w:r>
          </w:p>
        </w:tc>
        <w:tc>
          <w:tcPr>
            <w:tcW w:w="2048" w:type="dxa"/>
            <w:gridSpan w:val="5"/>
            <w:vAlign w:val="center"/>
          </w:tcPr>
          <w:p>
            <w:pPr>
              <w:jc w:val="center"/>
              <w:rPr>
                <w:rFonts w:hint="eastAsia"/>
                <w:sz w:val="24"/>
                <w:szCs w:val="24"/>
              </w:rPr>
            </w:pPr>
            <w:r>
              <w:rPr>
                <w:rFonts w:hint="eastAsia"/>
                <w:sz w:val="24"/>
                <w:szCs w:val="24"/>
              </w:rPr>
              <w:t>13813952277</w:t>
            </w:r>
          </w:p>
        </w:tc>
        <w:tc>
          <w:tcPr>
            <w:tcW w:w="817" w:type="dxa"/>
            <w:gridSpan w:val="3"/>
            <w:vAlign w:val="center"/>
          </w:tcPr>
          <w:p>
            <w:pPr>
              <w:jc w:val="center"/>
              <w:rPr>
                <w:sz w:val="24"/>
                <w:szCs w:val="24"/>
              </w:rPr>
            </w:pPr>
            <w:r>
              <w:rPr>
                <w:sz w:val="24"/>
                <w:szCs w:val="24"/>
              </w:rPr>
              <w:t>传真</w:t>
            </w:r>
          </w:p>
        </w:tc>
        <w:tc>
          <w:tcPr>
            <w:tcW w:w="1805" w:type="dxa"/>
            <w:gridSpan w:val="5"/>
            <w:vAlign w:val="center"/>
          </w:tcPr>
          <w:p>
            <w:pPr>
              <w:snapToGrid w:val="0"/>
              <w:jc w:val="center"/>
              <w:rPr>
                <w:rFonts w:hint="eastAsia"/>
                <w:sz w:val="24"/>
              </w:rPr>
            </w:pPr>
            <w:r>
              <w:rPr>
                <w:rFonts w:hint="eastAsia"/>
                <w:sz w:val="24"/>
              </w:rPr>
              <w:t>/</w:t>
            </w:r>
          </w:p>
        </w:tc>
        <w:tc>
          <w:tcPr>
            <w:tcW w:w="1245" w:type="dxa"/>
            <w:vAlign w:val="center"/>
          </w:tcPr>
          <w:p>
            <w:pPr>
              <w:jc w:val="center"/>
              <w:rPr>
                <w:sz w:val="24"/>
                <w:szCs w:val="24"/>
              </w:rPr>
            </w:pPr>
            <w:r>
              <w:rPr>
                <w:sz w:val="24"/>
                <w:szCs w:val="24"/>
              </w:rPr>
              <w:t>邮政编码</w:t>
            </w:r>
          </w:p>
        </w:tc>
        <w:tc>
          <w:tcPr>
            <w:tcW w:w="1020" w:type="dxa"/>
            <w:gridSpan w:val="3"/>
            <w:tcBorders>
              <w:right w:val="single" w:color="auto" w:sz="8" w:space="0"/>
            </w:tcBorders>
            <w:vAlign w:val="center"/>
          </w:tcPr>
          <w:p>
            <w:pPr>
              <w:jc w:val="center"/>
              <w:rPr>
                <w:rFonts w:hint="eastAsia"/>
                <w:sz w:val="24"/>
                <w:szCs w:val="24"/>
              </w:rPr>
            </w:pPr>
            <w:r>
              <w:rPr>
                <w:rFonts w:hint="eastAsia"/>
                <w:sz w:val="24"/>
                <w:szCs w:val="24"/>
              </w:rPr>
              <w:t>210001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建设地点</w:t>
            </w:r>
          </w:p>
        </w:tc>
        <w:tc>
          <w:tcPr>
            <w:tcW w:w="6935" w:type="dxa"/>
            <w:gridSpan w:val="17"/>
            <w:tcBorders>
              <w:right w:val="single" w:color="auto" w:sz="8" w:space="0"/>
            </w:tcBorders>
            <w:vAlign w:val="center"/>
          </w:tcPr>
          <w:p>
            <w:pPr>
              <w:jc w:val="center"/>
              <w:rPr>
                <w:rFonts w:hint="eastAsia"/>
                <w:bCs/>
                <w:sz w:val="24"/>
                <w:szCs w:val="24"/>
              </w:rPr>
            </w:pPr>
            <w:r>
              <w:rPr>
                <w:rFonts w:hint="eastAsia"/>
                <w:sz w:val="24"/>
              </w:rPr>
              <w:t>南京市经济技术开发区恒泰路与兴吴路交叉口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立项审批部门</w:t>
            </w:r>
          </w:p>
        </w:tc>
        <w:tc>
          <w:tcPr>
            <w:tcW w:w="2294" w:type="dxa"/>
            <w:gridSpan w:val="7"/>
            <w:vAlign w:val="center"/>
          </w:tcPr>
          <w:p>
            <w:pPr>
              <w:spacing w:line="216" w:lineRule="auto"/>
              <w:jc w:val="center"/>
              <w:rPr>
                <w:rFonts w:hint="eastAsia"/>
                <w:sz w:val="24"/>
                <w:szCs w:val="24"/>
              </w:rPr>
            </w:pPr>
            <w:r>
              <w:rPr>
                <w:rFonts w:hint="eastAsia"/>
                <w:sz w:val="24"/>
                <w:szCs w:val="24"/>
              </w:rPr>
              <w:t>南京经济技术开发区管理委员会</w:t>
            </w:r>
          </w:p>
        </w:tc>
        <w:tc>
          <w:tcPr>
            <w:tcW w:w="2376" w:type="dxa"/>
            <w:gridSpan w:val="6"/>
            <w:vAlign w:val="center"/>
          </w:tcPr>
          <w:p>
            <w:pPr>
              <w:spacing w:line="216" w:lineRule="auto"/>
              <w:jc w:val="center"/>
              <w:rPr>
                <w:sz w:val="24"/>
                <w:szCs w:val="24"/>
              </w:rPr>
            </w:pPr>
            <w:r>
              <w:rPr>
                <w:sz w:val="24"/>
                <w:szCs w:val="24"/>
              </w:rPr>
              <w:t>批准文号</w:t>
            </w:r>
          </w:p>
        </w:tc>
        <w:tc>
          <w:tcPr>
            <w:tcW w:w="2265" w:type="dxa"/>
            <w:gridSpan w:val="4"/>
            <w:tcBorders>
              <w:right w:val="single" w:color="auto" w:sz="8" w:space="0"/>
            </w:tcBorders>
            <w:vAlign w:val="center"/>
          </w:tcPr>
          <w:p>
            <w:pPr>
              <w:spacing w:line="216" w:lineRule="auto"/>
              <w:jc w:val="center"/>
              <w:rPr>
                <w:rFonts w:hint="eastAsia"/>
                <w:sz w:val="24"/>
                <w:szCs w:val="24"/>
              </w:rPr>
            </w:pPr>
            <w:r>
              <w:rPr>
                <w:rFonts w:hint="eastAsia"/>
                <w:sz w:val="24"/>
                <w:szCs w:val="24"/>
              </w:rPr>
              <w:t>宁开委招备字【2015】16号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建设性质</w:t>
            </w:r>
          </w:p>
        </w:tc>
        <w:tc>
          <w:tcPr>
            <w:tcW w:w="6935" w:type="dxa"/>
            <w:gridSpan w:val="17"/>
            <w:tcBorders>
              <w:right w:val="single" w:color="auto" w:sz="8" w:space="0"/>
            </w:tcBorders>
            <w:vAlign w:val="center"/>
          </w:tcPr>
          <w:p>
            <w:pPr>
              <w:spacing w:line="216" w:lineRule="auto"/>
              <w:jc w:val="center"/>
              <w:rPr>
                <w:sz w:val="24"/>
                <w:szCs w:val="24"/>
              </w:rPr>
            </w:pPr>
            <w:r>
              <w:rPr>
                <w:sz w:val="24"/>
                <w:szCs w:val="24"/>
              </w:rPr>
              <w:t>新建√   改</w:t>
            </w:r>
            <w:r>
              <w:rPr>
                <w:rFonts w:hint="eastAsia"/>
                <w:sz w:val="24"/>
                <w:szCs w:val="24"/>
              </w:rPr>
              <w:t xml:space="preserve">  </w:t>
            </w:r>
            <w:r>
              <w:rPr>
                <w:sz w:val="24"/>
                <w:szCs w:val="24"/>
              </w:rPr>
              <w:t>技改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行业类别及代码</w:t>
            </w:r>
          </w:p>
        </w:tc>
        <w:tc>
          <w:tcPr>
            <w:tcW w:w="6935" w:type="dxa"/>
            <w:gridSpan w:val="17"/>
            <w:tcBorders>
              <w:right w:val="single" w:color="auto" w:sz="8" w:space="0"/>
            </w:tcBorders>
            <w:vAlign w:val="center"/>
          </w:tcPr>
          <w:p>
            <w:pPr>
              <w:spacing w:line="216" w:lineRule="auto"/>
              <w:jc w:val="center"/>
              <w:rPr>
                <w:rFonts w:hint="eastAsia"/>
                <w:sz w:val="24"/>
              </w:rPr>
            </w:pPr>
            <w:r>
              <w:rPr>
                <w:rFonts w:hint="eastAsia"/>
                <w:sz w:val="24"/>
              </w:rPr>
              <w:t>G5990 其他仓储业</w:t>
            </w:r>
          </w:p>
          <w:p>
            <w:pPr>
              <w:spacing w:line="216"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占地面积（平方米）</w:t>
            </w:r>
          </w:p>
        </w:tc>
        <w:tc>
          <w:tcPr>
            <w:tcW w:w="2274" w:type="dxa"/>
            <w:gridSpan w:val="6"/>
            <w:vAlign w:val="center"/>
          </w:tcPr>
          <w:p>
            <w:pPr>
              <w:spacing w:line="216" w:lineRule="auto"/>
              <w:jc w:val="center"/>
              <w:rPr>
                <w:rFonts w:hint="eastAsia"/>
                <w:sz w:val="24"/>
                <w:szCs w:val="24"/>
              </w:rPr>
            </w:pPr>
            <w:r>
              <w:rPr>
                <w:rFonts w:hint="eastAsia"/>
                <w:sz w:val="24"/>
                <w:szCs w:val="24"/>
              </w:rPr>
              <w:t>7185</w:t>
            </w:r>
          </w:p>
        </w:tc>
        <w:tc>
          <w:tcPr>
            <w:tcW w:w="2396" w:type="dxa"/>
            <w:gridSpan w:val="7"/>
            <w:vAlign w:val="center"/>
          </w:tcPr>
          <w:p>
            <w:pPr>
              <w:spacing w:line="216" w:lineRule="auto"/>
              <w:jc w:val="center"/>
              <w:rPr>
                <w:sz w:val="24"/>
                <w:szCs w:val="24"/>
              </w:rPr>
            </w:pPr>
            <w:r>
              <w:rPr>
                <w:sz w:val="24"/>
                <w:szCs w:val="24"/>
              </w:rPr>
              <w:t>绿化面积（平方米）</w:t>
            </w:r>
          </w:p>
        </w:tc>
        <w:tc>
          <w:tcPr>
            <w:tcW w:w="2265" w:type="dxa"/>
            <w:gridSpan w:val="4"/>
            <w:tcBorders>
              <w:right w:val="single" w:color="auto" w:sz="8" w:space="0"/>
            </w:tcBorders>
            <w:tcMar>
              <w:left w:w="0" w:type="dxa"/>
              <w:right w:w="0" w:type="dxa"/>
            </w:tcMar>
            <w:vAlign w:val="center"/>
          </w:tcPr>
          <w:p>
            <w:pPr>
              <w:widowControl/>
              <w:spacing w:line="216" w:lineRule="auto"/>
              <w:jc w:val="center"/>
              <w:rPr>
                <w:rFonts w:hint="eastAsia"/>
                <w:bCs/>
                <w:sz w:val="24"/>
                <w:szCs w:val="24"/>
              </w:rPr>
            </w:pPr>
            <w:r>
              <w:rPr>
                <w:rFonts w:hint="eastAsia"/>
                <w:sz w:val="24"/>
                <w:szCs w:val="24"/>
                <w:lang w:val="en-US" w:eastAsia="zh-CN"/>
              </w:rPr>
              <w:t>1796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总投资</w:t>
            </w:r>
          </w:p>
          <w:p>
            <w:pPr>
              <w:spacing w:line="216" w:lineRule="auto"/>
              <w:jc w:val="center"/>
              <w:rPr>
                <w:sz w:val="24"/>
                <w:szCs w:val="24"/>
              </w:rPr>
            </w:pPr>
            <w:r>
              <w:rPr>
                <w:sz w:val="24"/>
                <w:szCs w:val="24"/>
              </w:rPr>
              <w:t>（万元）</w:t>
            </w:r>
          </w:p>
        </w:tc>
        <w:tc>
          <w:tcPr>
            <w:tcW w:w="1143" w:type="dxa"/>
            <w:vAlign w:val="center"/>
          </w:tcPr>
          <w:p>
            <w:pPr>
              <w:spacing w:line="216" w:lineRule="auto"/>
              <w:jc w:val="center"/>
              <w:rPr>
                <w:rFonts w:hint="eastAsia"/>
                <w:kern w:val="0"/>
                <w:sz w:val="20"/>
              </w:rPr>
            </w:pPr>
            <w:r>
              <w:rPr>
                <w:rFonts w:hint="eastAsia"/>
                <w:sz w:val="24"/>
                <w:szCs w:val="24"/>
              </w:rPr>
              <w:t>1800</w:t>
            </w:r>
          </w:p>
        </w:tc>
        <w:tc>
          <w:tcPr>
            <w:tcW w:w="2303" w:type="dxa"/>
            <w:gridSpan w:val="9"/>
            <w:vAlign w:val="center"/>
          </w:tcPr>
          <w:p>
            <w:pPr>
              <w:spacing w:line="216" w:lineRule="auto"/>
              <w:jc w:val="center"/>
              <w:rPr>
                <w:sz w:val="24"/>
                <w:szCs w:val="24"/>
              </w:rPr>
            </w:pPr>
            <w:r>
              <w:rPr>
                <w:sz w:val="24"/>
                <w:szCs w:val="24"/>
              </w:rPr>
              <w:t>其中：环保投资</w:t>
            </w:r>
          </w:p>
          <w:p>
            <w:pPr>
              <w:spacing w:line="216" w:lineRule="auto"/>
              <w:jc w:val="center"/>
              <w:rPr>
                <w:sz w:val="24"/>
                <w:szCs w:val="24"/>
              </w:rPr>
            </w:pPr>
            <w:r>
              <w:rPr>
                <w:sz w:val="24"/>
                <w:szCs w:val="24"/>
              </w:rPr>
              <w:t>（万元）</w:t>
            </w:r>
          </w:p>
        </w:tc>
        <w:tc>
          <w:tcPr>
            <w:tcW w:w="1224" w:type="dxa"/>
            <w:gridSpan w:val="3"/>
            <w:vAlign w:val="center"/>
          </w:tcPr>
          <w:p>
            <w:pPr>
              <w:spacing w:line="216" w:lineRule="auto"/>
              <w:jc w:val="center"/>
              <w:rPr>
                <w:rFonts w:hint="eastAsia" w:eastAsia="宋体"/>
                <w:sz w:val="24"/>
                <w:szCs w:val="24"/>
                <w:lang w:eastAsia="zh-CN"/>
              </w:rPr>
            </w:pPr>
            <w:r>
              <w:rPr>
                <w:rFonts w:hint="eastAsia"/>
                <w:sz w:val="24"/>
                <w:szCs w:val="24"/>
                <w:lang w:val="en-US" w:eastAsia="zh-CN"/>
              </w:rPr>
              <w:t>37</w:t>
            </w:r>
          </w:p>
        </w:tc>
        <w:tc>
          <w:tcPr>
            <w:tcW w:w="1448" w:type="dxa"/>
            <w:gridSpan w:val="2"/>
            <w:vAlign w:val="center"/>
          </w:tcPr>
          <w:p>
            <w:pPr>
              <w:spacing w:line="216" w:lineRule="auto"/>
              <w:jc w:val="center"/>
              <w:rPr>
                <w:sz w:val="24"/>
                <w:szCs w:val="24"/>
              </w:rPr>
            </w:pPr>
            <w:r>
              <w:rPr>
                <w:sz w:val="24"/>
                <w:szCs w:val="24"/>
              </w:rPr>
              <w:t>环保投资占</w:t>
            </w:r>
          </w:p>
          <w:p>
            <w:pPr>
              <w:spacing w:line="216" w:lineRule="auto"/>
              <w:jc w:val="center"/>
              <w:rPr>
                <w:sz w:val="24"/>
                <w:szCs w:val="24"/>
              </w:rPr>
            </w:pPr>
            <w:r>
              <w:rPr>
                <w:sz w:val="24"/>
                <w:szCs w:val="24"/>
              </w:rPr>
              <w:t>总投资比例</w:t>
            </w:r>
          </w:p>
        </w:tc>
        <w:tc>
          <w:tcPr>
            <w:tcW w:w="817" w:type="dxa"/>
            <w:gridSpan w:val="2"/>
            <w:tcBorders>
              <w:right w:val="single" w:color="auto" w:sz="8" w:space="0"/>
            </w:tcBorders>
            <w:vAlign w:val="center"/>
          </w:tcPr>
          <w:p>
            <w:pPr>
              <w:spacing w:line="216" w:lineRule="auto"/>
              <w:rPr>
                <w:rFonts w:hint="eastAsia"/>
                <w:sz w:val="24"/>
                <w:szCs w:val="24"/>
              </w:rPr>
            </w:pPr>
            <w:r>
              <w:rPr>
                <w:rFonts w:hint="eastAsia"/>
                <w:sz w:val="24"/>
                <w:szCs w:val="24"/>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2161" w:type="dxa"/>
            <w:gridSpan w:val="3"/>
            <w:tcBorders>
              <w:left w:val="single" w:color="auto" w:sz="8" w:space="0"/>
            </w:tcBorders>
            <w:vAlign w:val="center"/>
          </w:tcPr>
          <w:p>
            <w:pPr>
              <w:spacing w:line="216" w:lineRule="auto"/>
              <w:jc w:val="center"/>
              <w:rPr>
                <w:sz w:val="24"/>
                <w:szCs w:val="24"/>
              </w:rPr>
            </w:pPr>
            <w:r>
              <w:rPr>
                <w:sz w:val="24"/>
                <w:szCs w:val="24"/>
              </w:rPr>
              <w:t>评价经费（万元）</w:t>
            </w:r>
          </w:p>
        </w:tc>
        <w:tc>
          <w:tcPr>
            <w:tcW w:w="1937" w:type="dxa"/>
            <w:gridSpan w:val="3"/>
            <w:vAlign w:val="center"/>
          </w:tcPr>
          <w:p>
            <w:pPr>
              <w:spacing w:line="216" w:lineRule="auto"/>
              <w:jc w:val="center"/>
              <w:rPr>
                <w:rFonts w:hint="eastAsia"/>
                <w:sz w:val="24"/>
                <w:szCs w:val="24"/>
              </w:rPr>
            </w:pPr>
          </w:p>
        </w:tc>
        <w:tc>
          <w:tcPr>
            <w:tcW w:w="2733" w:type="dxa"/>
            <w:gridSpan w:val="10"/>
            <w:vAlign w:val="center"/>
          </w:tcPr>
          <w:p>
            <w:pPr>
              <w:spacing w:line="216" w:lineRule="auto"/>
              <w:jc w:val="center"/>
              <w:rPr>
                <w:sz w:val="24"/>
                <w:szCs w:val="24"/>
              </w:rPr>
            </w:pPr>
            <w:r>
              <w:rPr>
                <w:sz w:val="24"/>
                <w:szCs w:val="24"/>
              </w:rPr>
              <w:t>预期投产日期</w:t>
            </w:r>
          </w:p>
        </w:tc>
        <w:tc>
          <w:tcPr>
            <w:tcW w:w="2265" w:type="dxa"/>
            <w:gridSpan w:val="4"/>
            <w:tcBorders>
              <w:right w:val="single" w:color="auto" w:sz="8" w:space="0"/>
            </w:tcBorders>
            <w:vAlign w:val="center"/>
          </w:tcPr>
          <w:p>
            <w:pPr>
              <w:spacing w:line="216" w:lineRule="auto"/>
              <w:jc w:val="center"/>
              <w:rPr>
                <w:rFonts w:hint="eastAsia"/>
                <w:sz w:val="24"/>
                <w:szCs w:val="24"/>
              </w:rPr>
            </w:pPr>
            <w:r>
              <w:rPr>
                <w:rFonts w:hint="eastAsia"/>
                <w:sz w:val="24"/>
                <w:szCs w:val="24"/>
              </w:rPr>
              <w:t>2016年9月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6" w:hRule="atLeast"/>
          <w:jc w:val="center"/>
        </w:trPr>
        <w:tc>
          <w:tcPr>
            <w:tcW w:w="9096" w:type="dxa"/>
            <w:gridSpan w:val="20"/>
            <w:tcBorders>
              <w:left w:val="single" w:color="auto" w:sz="8" w:space="0"/>
              <w:right w:val="single" w:color="auto" w:sz="8" w:space="0"/>
            </w:tcBorders>
            <w:tcMar>
              <w:bottom w:w="284" w:type="dxa"/>
            </w:tcMar>
            <w:vAlign w:val="top"/>
          </w:tcPr>
          <w:p>
            <w:pPr>
              <w:spacing w:before="142" w:beforeLines="50"/>
              <w:rPr>
                <w:sz w:val="24"/>
                <w:szCs w:val="24"/>
              </w:rPr>
            </w:pPr>
            <w:r>
              <w:rPr>
                <w:rFonts w:hint="eastAsia"/>
                <w:sz w:val="24"/>
                <w:szCs w:val="24"/>
              </w:rPr>
              <w:t>原辅材料，</w:t>
            </w:r>
            <w:r>
              <w:rPr>
                <w:sz w:val="24"/>
                <w:szCs w:val="24"/>
              </w:rPr>
              <w:t>要设施规格、数量（包括锅炉、发电机等）</w:t>
            </w:r>
          </w:p>
          <w:p>
            <w:pPr>
              <w:numPr>
                <w:ilvl w:val="0"/>
                <w:numId w:val="2"/>
              </w:numPr>
              <w:spacing w:before="142" w:beforeLines="50"/>
              <w:rPr>
                <w:rFonts w:hint="eastAsia"/>
                <w:color w:val="FF0000"/>
                <w:sz w:val="24"/>
                <w:szCs w:val="24"/>
              </w:rPr>
            </w:pPr>
            <w:r>
              <w:rPr>
                <w:rFonts w:hint="eastAsia"/>
                <w:color w:val="FF0000"/>
                <w:sz w:val="24"/>
                <w:szCs w:val="24"/>
              </w:rPr>
              <w:t>原辅材料</w:t>
            </w:r>
          </w:p>
          <w:p>
            <w:pPr>
              <w:spacing w:before="142" w:beforeLines="50"/>
              <w:rPr>
                <w:rFonts w:hint="eastAsia"/>
                <w:color w:val="FF0000"/>
                <w:sz w:val="24"/>
                <w:szCs w:val="24"/>
              </w:rPr>
            </w:pPr>
            <w:r>
              <w:rPr>
                <w:rFonts w:hint="eastAsia"/>
                <w:color w:val="FF0000"/>
                <w:sz w:val="24"/>
                <w:szCs w:val="24"/>
              </w:rPr>
              <w:t xml:space="preserve">    本项目存储货物及吞吐量见表1 </w:t>
            </w:r>
          </w:p>
          <w:p>
            <w:pPr>
              <w:spacing w:before="142" w:beforeLines="50"/>
              <w:jc w:val="center"/>
              <w:rPr>
                <w:rFonts w:hint="eastAsia"/>
                <w:color w:val="FF0000"/>
                <w:sz w:val="24"/>
                <w:szCs w:val="24"/>
              </w:rPr>
            </w:pPr>
            <w:r>
              <w:rPr>
                <w:rFonts w:hint="eastAsia"/>
                <w:color w:val="FF0000"/>
                <w:sz w:val="24"/>
                <w:szCs w:val="24"/>
              </w:rPr>
              <w:t>表1 本项目存储货物及吞吐量情况  单位t/a</w:t>
            </w:r>
          </w:p>
          <w:tbl>
            <w:tblPr>
              <w:tblStyle w:val="34"/>
              <w:tblW w:w="88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2544"/>
              <w:gridCol w:w="1773"/>
              <w:gridCol w:w="1775"/>
              <w:gridCol w:w="1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 w:type="dxa"/>
                  <w:vAlign w:val="center"/>
                </w:tcPr>
                <w:p>
                  <w:pPr>
                    <w:jc w:val="center"/>
                    <w:rPr>
                      <w:rFonts w:hint="eastAsia" w:eastAsia="Times New Roman"/>
                      <w:color w:val="FF0000"/>
                      <w:sz w:val="21"/>
                    </w:rPr>
                  </w:pPr>
                  <w:r>
                    <w:rPr>
                      <w:rFonts w:hint="eastAsia" w:eastAsia="Times New Roman"/>
                      <w:color w:val="FF0000"/>
                      <w:sz w:val="21"/>
                    </w:rPr>
                    <w:t>序号</w:t>
                  </w:r>
                </w:p>
              </w:tc>
              <w:tc>
                <w:tcPr>
                  <w:tcW w:w="2544" w:type="dxa"/>
                  <w:vAlign w:val="center"/>
                </w:tcPr>
                <w:p>
                  <w:pPr>
                    <w:jc w:val="center"/>
                    <w:rPr>
                      <w:rFonts w:hint="eastAsia" w:eastAsia="Times New Roman"/>
                      <w:color w:val="FF0000"/>
                      <w:sz w:val="21"/>
                    </w:rPr>
                  </w:pPr>
                  <w:r>
                    <w:rPr>
                      <w:rFonts w:hint="eastAsia" w:eastAsia="Times New Roman"/>
                      <w:color w:val="FF0000"/>
                      <w:sz w:val="21"/>
                    </w:rPr>
                    <w:t>货物</w:t>
                  </w:r>
                </w:p>
              </w:tc>
              <w:tc>
                <w:tcPr>
                  <w:tcW w:w="1773" w:type="dxa"/>
                  <w:vAlign w:val="center"/>
                </w:tcPr>
                <w:p>
                  <w:pPr>
                    <w:jc w:val="center"/>
                    <w:rPr>
                      <w:rFonts w:hint="eastAsia" w:eastAsia="Times New Roman"/>
                      <w:color w:val="FF0000"/>
                      <w:sz w:val="21"/>
                    </w:rPr>
                  </w:pPr>
                  <w:r>
                    <w:rPr>
                      <w:rFonts w:hint="eastAsia" w:eastAsia="Times New Roman"/>
                      <w:color w:val="FF0000"/>
                      <w:sz w:val="21"/>
                    </w:rPr>
                    <w:t>包装情况</w:t>
                  </w:r>
                </w:p>
              </w:tc>
              <w:tc>
                <w:tcPr>
                  <w:tcW w:w="1775" w:type="dxa"/>
                  <w:vAlign w:val="center"/>
                </w:tcPr>
                <w:p>
                  <w:pPr>
                    <w:jc w:val="center"/>
                    <w:rPr>
                      <w:rFonts w:hint="eastAsia" w:eastAsia="Times New Roman"/>
                      <w:color w:val="FF0000"/>
                      <w:sz w:val="21"/>
                    </w:rPr>
                  </w:pPr>
                  <w:r>
                    <w:rPr>
                      <w:rFonts w:hint="eastAsia" w:eastAsia="Times New Roman"/>
                      <w:color w:val="FF0000"/>
                      <w:sz w:val="21"/>
                    </w:rPr>
                    <w:t>存储方式</w:t>
                  </w:r>
                </w:p>
              </w:tc>
              <w:tc>
                <w:tcPr>
                  <w:tcW w:w="1775" w:type="dxa"/>
                  <w:vAlign w:val="center"/>
                </w:tcPr>
                <w:p>
                  <w:pPr>
                    <w:jc w:val="center"/>
                    <w:rPr>
                      <w:rFonts w:hint="eastAsia" w:eastAsia="Times New Roman"/>
                      <w:color w:val="FF0000"/>
                      <w:sz w:val="21"/>
                    </w:rPr>
                  </w:pPr>
                  <w:r>
                    <w:rPr>
                      <w:rFonts w:hint="eastAsia" w:eastAsia="Times New Roman"/>
                      <w:color w:val="FF0000"/>
                      <w:sz w:val="21"/>
                    </w:rPr>
                    <w:t>吞吐量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 w:type="dxa"/>
                  <w:vAlign w:val="center"/>
                </w:tcPr>
                <w:p>
                  <w:pPr>
                    <w:jc w:val="center"/>
                    <w:rPr>
                      <w:rFonts w:hint="eastAsia" w:eastAsia="Times New Roman"/>
                      <w:color w:val="FF0000"/>
                      <w:sz w:val="21"/>
                    </w:rPr>
                  </w:pPr>
                  <w:r>
                    <w:rPr>
                      <w:rFonts w:hint="eastAsia" w:eastAsia="Times New Roman"/>
                      <w:color w:val="FF0000"/>
                      <w:sz w:val="21"/>
                    </w:rPr>
                    <w:t>1</w:t>
                  </w:r>
                </w:p>
              </w:tc>
              <w:tc>
                <w:tcPr>
                  <w:tcW w:w="2544" w:type="dxa"/>
                  <w:vAlign w:val="center"/>
                </w:tcPr>
                <w:p>
                  <w:pPr>
                    <w:jc w:val="center"/>
                    <w:rPr>
                      <w:rFonts w:hint="eastAsia" w:eastAsia="Times New Roman"/>
                      <w:color w:val="FF0000"/>
                      <w:sz w:val="21"/>
                    </w:rPr>
                  </w:pPr>
                  <w:r>
                    <w:rPr>
                      <w:rFonts w:hint="eastAsia" w:eastAsia="Times New Roman"/>
                      <w:color w:val="FF0000"/>
                      <w:sz w:val="21"/>
                    </w:rPr>
                    <w:t>棉麻织物</w:t>
                  </w:r>
                </w:p>
              </w:tc>
              <w:tc>
                <w:tcPr>
                  <w:tcW w:w="1773" w:type="dxa"/>
                  <w:vAlign w:val="center"/>
                </w:tcPr>
                <w:p>
                  <w:pPr>
                    <w:jc w:val="center"/>
                    <w:rPr>
                      <w:rFonts w:hint="eastAsia" w:eastAsia="Times New Roman"/>
                      <w:color w:val="FF0000"/>
                      <w:sz w:val="21"/>
                    </w:rPr>
                  </w:pPr>
                  <w:r>
                    <w:rPr>
                      <w:rFonts w:hint="eastAsia" w:eastAsia="Times New Roman"/>
                      <w:color w:val="FF0000"/>
                      <w:sz w:val="21"/>
                    </w:rPr>
                    <w:t>包材</w:t>
                  </w:r>
                </w:p>
              </w:tc>
              <w:tc>
                <w:tcPr>
                  <w:tcW w:w="1775" w:type="dxa"/>
                  <w:vAlign w:val="center"/>
                </w:tcPr>
                <w:p>
                  <w:pPr>
                    <w:jc w:val="center"/>
                    <w:rPr>
                      <w:rFonts w:hint="eastAsia" w:eastAsia="Times New Roman"/>
                      <w:color w:val="FF0000"/>
                      <w:sz w:val="21"/>
                    </w:rPr>
                  </w:pPr>
                  <w:r>
                    <w:rPr>
                      <w:rFonts w:hint="eastAsia" w:eastAsia="Times New Roman"/>
                      <w:color w:val="FF0000"/>
                      <w:sz w:val="21"/>
                    </w:rPr>
                    <w:t>阴凉通风，远离火种</w:t>
                  </w:r>
                </w:p>
              </w:tc>
              <w:tc>
                <w:tcPr>
                  <w:tcW w:w="1775" w:type="dxa"/>
                  <w:vAlign w:val="center"/>
                </w:tcPr>
                <w:p>
                  <w:pPr>
                    <w:jc w:val="center"/>
                    <w:rPr>
                      <w:rFonts w:hint="eastAsia" w:eastAsia="Times New Roman"/>
                      <w:color w:val="FF0000"/>
                      <w:sz w:val="21"/>
                    </w:rPr>
                  </w:pPr>
                  <w:r>
                    <w:rPr>
                      <w:rFonts w:hint="eastAsia" w:eastAsia="Times New Roman"/>
                      <w:color w:val="FF0000"/>
                      <w:sz w:val="21"/>
                    </w:rPr>
                    <w:t>20000</w:t>
                  </w:r>
                </w:p>
              </w:tc>
            </w:tr>
          </w:tbl>
          <w:p>
            <w:pPr>
              <w:spacing w:before="142" w:beforeLines="50"/>
              <w:rPr>
                <w:rFonts w:hint="eastAsia"/>
                <w:color w:val="FF0000"/>
                <w:sz w:val="24"/>
                <w:szCs w:val="24"/>
              </w:rPr>
            </w:pPr>
            <w:r>
              <w:rPr>
                <w:rFonts w:hint="eastAsia"/>
                <w:color w:val="FF0000"/>
                <w:sz w:val="24"/>
                <w:szCs w:val="24"/>
              </w:rPr>
              <w:t>2、本项目设备情况见表2</w:t>
            </w:r>
          </w:p>
          <w:p>
            <w:pPr>
              <w:snapToGrid w:val="0"/>
              <w:jc w:val="center"/>
              <w:rPr>
                <w:rFonts w:hint="eastAsia"/>
                <w:color w:val="FF0000"/>
                <w:sz w:val="24"/>
              </w:rPr>
            </w:pPr>
            <w:r>
              <w:rPr>
                <w:rFonts w:hint="eastAsia"/>
                <w:color w:val="FF0000"/>
                <w:sz w:val="24"/>
              </w:rPr>
              <w:t>表2  主要设备情况表</w:t>
            </w:r>
          </w:p>
          <w:tbl>
            <w:tblPr>
              <w:tblStyle w:val="34"/>
              <w:tblW w:w="8870"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73"/>
              <w:gridCol w:w="2333"/>
              <w:gridCol w:w="1548"/>
              <w:gridCol w:w="1080"/>
              <w:gridCol w:w="303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84" w:hRule="atLeast"/>
                <w:jc w:val="center"/>
              </w:trPr>
              <w:tc>
                <w:tcPr>
                  <w:tcW w:w="873" w:type="dxa"/>
                  <w:vAlign w:val="center"/>
                </w:tcPr>
                <w:p>
                  <w:pPr>
                    <w:jc w:val="center"/>
                    <w:rPr>
                      <w:rFonts w:hint="eastAsia" w:eastAsia="Times New Roman"/>
                      <w:color w:val="FF0000"/>
                      <w:sz w:val="21"/>
                    </w:rPr>
                  </w:pPr>
                  <w:r>
                    <w:rPr>
                      <w:rFonts w:hint="eastAsia" w:eastAsia="Times New Roman"/>
                      <w:color w:val="FF0000"/>
                      <w:sz w:val="21"/>
                    </w:rPr>
                    <w:t>序号</w:t>
                  </w:r>
                </w:p>
              </w:tc>
              <w:tc>
                <w:tcPr>
                  <w:tcW w:w="2333" w:type="dxa"/>
                  <w:vAlign w:val="center"/>
                </w:tcPr>
                <w:p>
                  <w:pPr>
                    <w:jc w:val="center"/>
                    <w:rPr>
                      <w:rFonts w:hint="eastAsia" w:eastAsia="Times New Roman"/>
                      <w:color w:val="FF0000"/>
                      <w:sz w:val="21"/>
                    </w:rPr>
                  </w:pPr>
                  <w:r>
                    <w:rPr>
                      <w:rFonts w:hint="eastAsia" w:eastAsia="Times New Roman"/>
                      <w:color w:val="FF0000"/>
                      <w:sz w:val="21"/>
                    </w:rPr>
                    <w:t>设备名称</w:t>
                  </w:r>
                </w:p>
              </w:tc>
              <w:tc>
                <w:tcPr>
                  <w:tcW w:w="1548" w:type="dxa"/>
                  <w:vAlign w:val="center"/>
                </w:tcPr>
                <w:p>
                  <w:pPr>
                    <w:jc w:val="center"/>
                    <w:rPr>
                      <w:rFonts w:hint="eastAsia" w:eastAsia="Times New Roman"/>
                      <w:color w:val="FF0000"/>
                      <w:sz w:val="21"/>
                    </w:rPr>
                  </w:pPr>
                  <w:r>
                    <w:rPr>
                      <w:rFonts w:hint="eastAsia" w:eastAsia="Times New Roman"/>
                      <w:color w:val="FF0000"/>
                      <w:sz w:val="21"/>
                    </w:rPr>
                    <w:t>型号</w:t>
                  </w:r>
                </w:p>
              </w:tc>
              <w:tc>
                <w:tcPr>
                  <w:tcW w:w="1080" w:type="dxa"/>
                  <w:vAlign w:val="center"/>
                </w:tcPr>
                <w:p>
                  <w:pPr>
                    <w:jc w:val="center"/>
                    <w:rPr>
                      <w:rFonts w:hint="eastAsia" w:eastAsia="Times New Roman"/>
                      <w:color w:val="FF0000"/>
                      <w:sz w:val="21"/>
                    </w:rPr>
                  </w:pPr>
                  <w:r>
                    <w:rPr>
                      <w:rFonts w:hint="eastAsia" w:eastAsia="Times New Roman"/>
                      <w:color w:val="FF0000"/>
                      <w:sz w:val="21"/>
                    </w:rPr>
                    <w:t>数量</w:t>
                  </w:r>
                </w:p>
              </w:tc>
              <w:tc>
                <w:tcPr>
                  <w:tcW w:w="3036" w:type="dxa"/>
                  <w:vAlign w:val="center"/>
                </w:tcPr>
                <w:p>
                  <w:pPr>
                    <w:jc w:val="center"/>
                    <w:rPr>
                      <w:rFonts w:hint="eastAsia" w:eastAsia="Times New Roman"/>
                      <w:color w:val="FF0000"/>
                      <w:sz w:val="21"/>
                    </w:rPr>
                  </w:pPr>
                  <w:r>
                    <w:rPr>
                      <w:rFonts w:hint="eastAsia" w:eastAsia="Times New Roman"/>
                      <w:color w:val="FF0000"/>
                      <w:sz w:val="21"/>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94" w:hRule="atLeast"/>
                <w:jc w:val="center"/>
              </w:trPr>
              <w:tc>
                <w:tcPr>
                  <w:tcW w:w="873" w:type="dxa"/>
                  <w:vAlign w:val="center"/>
                </w:tcPr>
                <w:p>
                  <w:pPr>
                    <w:jc w:val="center"/>
                    <w:rPr>
                      <w:rFonts w:hint="eastAsia" w:eastAsia="Times New Roman"/>
                      <w:color w:val="FF0000"/>
                      <w:sz w:val="21"/>
                    </w:rPr>
                  </w:pPr>
                  <w:r>
                    <w:rPr>
                      <w:rFonts w:hint="eastAsia" w:eastAsia="Times New Roman"/>
                      <w:color w:val="FF0000"/>
                      <w:sz w:val="21"/>
                    </w:rPr>
                    <w:t>1</w:t>
                  </w:r>
                </w:p>
              </w:tc>
              <w:tc>
                <w:tcPr>
                  <w:tcW w:w="2333" w:type="dxa"/>
                  <w:vAlign w:val="center"/>
                </w:tcPr>
                <w:p>
                  <w:pPr>
                    <w:jc w:val="center"/>
                    <w:rPr>
                      <w:rFonts w:hint="eastAsia"/>
                      <w:color w:val="FF0000"/>
                      <w:sz w:val="21"/>
                    </w:rPr>
                  </w:pPr>
                  <w:r>
                    <w:rPr>
                      <w:rFonts w:hint="eastAsia"/>
                      <w:color w:val="FF0000"/>
                      <w:sz w:val="21"/>
                    </w:rPr>
                    <w:t>叉车</w:t>
                  </w:r>
                </w:p>
              </w:tc>
              <w:tc>
                <w:tcPr>
                  <w:tcW w:w="1548" w:type="dxa"/>
                  <w:vAlign w:val="center"/>
                </w:tcPr>
                <w:p>
                  <w:pPr>
                    <w:jc w:val="center"/>
                    <w:rPr>
                      <w:rFonts w:hint="eastAsia"/>
                      <w:color w:val="FF0000"/>
                      <w:sz w:val="21"/>
                    </w:rPr>
                  </w:pPr>
                  <w:r>
                    <w:rPr>
                      <w:rFonts w:hint="eastAsia"/>
                      <w:color w:val="FF0000"/>
                      <w:sz w:val="21"/>
                    </w:rPr>
                    <w:t>电瓶叉车、液压叉车</w:t>
                  </w:r>
                </w:p>
              </w:tc>
              <w:tc>
                <w:tcPr>
                  <w:tcW w:w="1080" w:type="dxa"/>
                  <w:vAlign w:val="center"/>
                </w:tcPr>
                <w:p>
                  <w:pPr>
                    <w:jc w:val="center"/>
                    <w:rPr>
                      <w:rFonts w:hint="eastAsia"/>
                      <w:color w:val="FF0000"/>
                      <w:sz w:val="21"/>
                    </w:rPr>
                  </w:pPr>
                  <w:r>
                    <w:rPr>
                      <w:rFonts w:hint="eastAsia"/>
                      <w:color w:val="FF0000"/>
                      <w:sz w:val="21"/>
                    </w:rPr>
                    <w:t>15量</w:t>
                  </w:r>
                </w:p>
              </w:tc>
              <w:tc>
                <w:tcPr>
                  <w:tcW w:w="3036" w:type="dxa"/>
                  <w:vAlign w:val="center"/>
                </w:tcPr>
                <w:p>
                  <w:pPr>
                    <w:jc w:val="center"/>
                    <w:rPr>
                      <w:rFonts w:hint="eastAsia"/>
                      <w:color w:val="FF0000"/>
                      <w:sz w:val="21"/>
                    </w:rPr>
                  </w:pPr>
                  <w:r>
                    <w:rPr>
                      <w:rFonts w:hint="eastAsia"/>
                      <w:color w:val="FF0000"/>
                      <w:sz w:val="21"/>
                    </w:rPr>
                    <w:t>国内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94" w:hRule="atLeast"/>
                <w:jc w:val="center"/>
              </w:trPr>
              <w:tc>
                <w:tcPr>
                  <w:tcW w:w="873" w:type="dxa"/>
                  <w:vAlign w:val="center"/>
                </w:tcPr>
                <w:p>
                  <w:pPr>
                    <w:jc w:val="center"/>
                    <w:rPr>
                      <w:rFonts w:hint="eastAsia"/>
                      <w:color w:val="FF0000"/>
                      <w:sz w:val="21"/>
                    </w:rPr>
                  </w:pPr>
                  <w:r>
                    <w:rPr>
                      <w:rFonts w:hint="eastAsia"/>
                      <w:color w:val="FF0000"/>
                      <w:sz w:val="21"/>
                    </w:rPr>
                    <w:t>2</w:t>
                  </w:r>
                </w:p>
              </w:tc>
              <w:tc>
                <w:tcPr>
                  <w:tcW w:w="2333" w:type="dxa"/>
                  <w:vAlign w:val="center"/>
                </w:tcPr>
                <w:p>
                  <w:pPr>
                    <w:jc w:val="center"/>
                    <w:rPr>
                      <w:rFonts w:hint="eastAsia"/>
                      <w:color w:val="FF0000"/>
                      <w:sz w:val="21"/>
                    </w:rPr>
                  </w:pPr>
                  <w:r>
                    <w:rPr>
                      <w:rFonts w:hint="eastAsia"/>
                      <w:color w:val="FF0000"/>
                      <w:sz w:val="21"/>
                    </w:rPr>
                    <w:t>货架</w:t>
                  </w:r>
                </w:p>
              </w:tc>
              <w:tc>
                <w:tcPr>
                  <w:tcW w:w="1548" w:type="dxa"/>
                  <w:vAlign w:val="center"/>
                </w:tcPr>
                <w:p>
                  <w:pPr>
                    <w:jc w:val="center"/>
                    <w:rPr>
                      <w:rFonts w:hint="eastAsia"/>
                      <w:color w:val="FF0000"/>
                      <w:sz w:val="21"/>
                    </w:rPr>
                  </w:pPr>
                  <w:r>
                    <w:rPr>
                      <w:rFonts w:hint="eastAsia"/>
                      <w:color w:val="FF0000"/>
                      <w:sz w:val="21"/>
                    </w:rPr>
                    <w:t>1200*1400*4层</w:t>
                  </w:r>
                </w:p>
              </w:tc>
              <w:tc>
                <w:tcPr>
                  <w:tcW w:w="1080" w:type="dxa"/>
                  <w:vAlign w:val="center"/>
                </w:tcPr>
                <w:p>
                  <w:pPr>
                    <w:jc w:val="center"/>
                    <w:rPr>
                      <w:rFonts w:hint="eastAsia"/>
                      <w:color w:val="FF0000"/>
                      <w:sz w:val="21"/>
                    </w:rPr>
                  </w:pPr>
                  <w:r>
                    <w:rPr>
                      <w:rFonts w:hint="eastAsia"/>
                      <w:color w:val="FF0000"/>
                      <w:sz w:val="21"/>
                    </w:rPr>
                    <w:t>5000个</w:t>
                  </w:r>
                </w:p>
              </w:tc>
              <w:tc>
                <w:tcPr>
                  <w:tcW w:w="3036" w:type="dxa"/>
                  <w:vAlign w:val="center"/>
                </w:tcPr>
                <w:p>
                  <w:pPr>
                    <w:jc w:val="center"/>
                    <w:rPr>
                      <w:rFonts w:hint="eastAsia"/>
                      <w:color w:val="FF0000"/>
                      <w:sz w:val="21"/>
                    </w:rPr>
                  </w:pPr>
                  <w:r>
                    <w:rPr>
                      <w:rFonts w:hint="eastAsia"/>
                      <w:color w:val="FF0000"/>
                      <w:sz w:val="21"/>
                    </w:rPr>
                    <w:t>国内</w:t>
                  </w:r>
                </w:p>
              </w:tc>
            </w:tr>
          </w:tbl>
          <w:p>
            <w:pPr>
              <w:spacing w:line="440" w:lineRule="exact"/>
              <w:ind w:firstLine="480" w:firstLineChars="200"/>
              <w:rPr>
                <w:sz w:val="24"/>
                <w:szCs w:val="24"/>
              </w:rPr>
            </w:pPr>
          </w:p>
          <w:p>
            <w:pPr>
              <w:spacing w:line="440" w:lineRule="exact"/>
              <w:ind w:firstLine="480" w:firstLineChars="200"/>
              <w:rPr>
                <w:sz w:val="24"/>
                <w:szCs w:val="24"/>
              </w:rPr>
            </w:pPr>
          </w:p>
          <w:p>
            <w:pPr>
              <w:spacing w:line="440" w:lineRule="exact"/>
              <w:ind w:firstLine="480" w:firstLineChars="200"/>
              <w:rPr>
                <w:sz w:val="24"/>
                <w:szCs w:val="24"/>
              </w:rPr>
            </w:pPr>
          </w:p>
          <w:p>
            <w:pPr>
              <w:spacing w:line="440" w:lineRule="exact"/>
              <w:ind w:firstLine="480" w:firstLineChars="200"/>
              <w:rPr>
                <w:sz w:val="24"/>
                <w:szCs w:val="24"/>
              </w:rPr>
            </w:pPr>
          </w:p>
          <w:p>
            <w:pPr>
              <w:spacing w:line="440" w:lineRule="exact"/>
              <w:ind w:firstLine="480" w:firstLineChars="200"/>
              <w:rPr>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gridAfter w:val="1"/>
          <w:wAfter w:w="8" w:type="dxa"/>
          <w:trHeight w:val="191" w:hRule="atLeast"/>
          <w:jc w:val="center"/>
        </w:trPr>
        <w:tc>
          <w:tcPr>
            <w:tcW w:w="9088" w:type="dxa"/>
            <w:gridSpan w:val="19"/>
            <w:tcBorders>
              <w:top w:val="single" w:color="auto" w:sz="4" w:space="0"/>
              <w:left w:val="single" w:color="auto" w:sz="8" w:space="0"/>
              <w:bottom w:val="single" w:color="auto" w:sz="4" w:space="0"/>
              <w:right w:val="single" w:color="auto" w:sz="8" w:space="0"/>
            </w:tcBorders>
            <w:vAlign w:val="center"/>
          </w:tcPr>
          <w:p>
            <w:pPr>
              <w:snapToGrid w:val="0"/>
              <w:spacing w:line="380" w:lineRule="exact"/>
              <w:rPr>
                <w:sz w:val="24"/>
              </w:rPr>
            </w:pPr>
            <w:r>
              <w:rPr>
                <w:sz w:val="24"/>
              </w:rPr>
              <w:t>能源耗量</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gridAfter w:val="1"/>
          <w:wAfter w:w="8" w:type="dxa"/>
          <w:trHeight w:val="373" w:hRule="atLeast"/>
          <w:jc w:val="center"/>
        </w:trPr>
        <w:tc>
          <w:tcPr>
            <w:tcW w:w="1971" w:type="dxa"/>
            <w:gridSpan w:val="2"/>
            <w:tcBorders>
              <w:top w:val="single" w:color="auto" w:sz="4" w:space="0"/>
              <w:left w:val="single" w:color="auto" w:sz="8" w:space="0"/>
              <w:bottom w:val="single" w:color="auto" w:sz="4" w:space="0"/>
              <w:right w:val="single" w:color="auto" w:sz="4" w:space="0"/>
            </w:tcBorders>
            <w:vAlign w:val="center"/>
          </w:tcPr>
          <w:p>
            <w:pPr>
              <w:snapToGrid w:val="0"/>
              <w:spacing w:line="380" w:lineRule="exact"/>
              <w:jc w:val="center"/>
              <w:rPr>
                <w:sz w:val="24"/>
              </w:rPr>
            </w:pPr>
            <w:r>
              <w:rPr>
                <w:sz w:val="24"/>
              </w:rPr>
              <w:t>名称</w:t>
            </w:r>
          </w:p>
        </w:tc>
        <w:tc>
          <w:tcPr>
            <w:tcW w:w="2172"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sz w:val="24"/>
              </w:rPr>
            </w:pPr>
            <w:r>
              <w:rPr>
                <w:sz w:val="24"/>
              </w:rPr>
              <w:t>消耗量</w:t>
            </w:r>
          </w:p>
        </w:tc>
        <w:tc>
          <w:tcPr>
            <w:tcW w:w="2148" w:type="dxa"/>
            <w:gridSpan w:val="7"/>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sz w:val="24"/>
              </w:rPr>
            </w:pPr>
            <w:r>
              <w:rPr>
                <w:sz w:val="24"/>
              </w:rPr>
              <w:t>名称</w:t>
            </w:r>
          </w:p>
        </w:tc>
        <w:tc>
          <w:tcPr>
            <w:tcW w:w="2797" w:type="dxa"/>
            <w:gridSpan w:val="5"/>
            <w:tcBorders>
              <w:top w:val="single" w:color="auto" w:sz="4" w:space="0"/>
              <w:left w:val="single" w:color="auto" w:sz="4" w:space="0"/>
              <w:bottom w:val="single" w:color="auto" w:sz="4" w:space="0"/>
              <w:right w:val="single" w:color="auto" w:sz="8" w:space="0"/>
            </w:tcBorders>
            <w:vAlign w:val="center"/>
          </w:tcPr>
          <w:p>
            <w:pPr>
              <w:snapToGrid w:val="0"/>
              <w:spacing w:line="380" w:lineRule="exact"/>
              <w:jc w:val="center"/>
              <w:rPr>
                <w:sz w:val="24"/>
              </w:rPr>
            </w:pPr>
            <w:r>
              <w:rPr>
                <w:sz w:val="24"/>
              </w:rPr>
              <w:t>消耗量</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gridAfter w:val="1"/>
          <w:wAfter w:w="8" w:type="dxa"/>
          <w:trHeight w:val="373" w:hRule="atLeast"/>
          <w:jc w:val="center"/>
        </w:trPr>
        <w:tc>
          <w:tcPr>
            <w:tcW w:w="1971" w:type="dxa"/>
            <w:gridSpan w:val="2"/>
            <w:tcBorders>
              <w:top w:val="single" w:color="auto" w:sz="4" w:space="0"/>
              <w:left w:val="single" w:color="auto" w:sz="8" w:space="0"/>
              <w:bottom w:val="single" w:color="auto" w:sz="4" w:space="0"/>
              <w:right w:val="single" w:color="auto" w:sz="4" w:space="0"/>
            </w:tcBorders>
            <w:vAlign w:val="center"/>
          </w:tcPr>
          <w:p>
            <w:pPr>
              <w:snapToGrid w:val="0"/>
              <w:spacing w:line="380" w:lineRule="exact"/>
              <w:jc w:val="center"/>
              <w:rPr>
                <w:sz w:val="24"/>
              </w:rPr>
            </w:pPr>
            <w:r>
              <w:rPr>
                <w:sz w:val="24"/>
              </w:rPr>
              <w:t>水（吨/年）</w:t>
            </w:r>
          </w:p>
        </w:tc>
        <w:tc>
          <w:tcPr>
            <w:tcW w:w="2172"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sz w:val="24"/>
              </w:rPr>
            </w:pPr>
            <w:r>
              <w:rPr>
                <w:rFonts w:hint="eastAsia"/>
                <w:sz w:val="24"/>
              </w:rPr>
              <w:t>1350</w:t>
            </w:r>
          </w:p>
        </w:tc>
        <w:tc>
          <w:tcPr>
            <w:tcW w:w="2148" w:type="dxa"/>
            <w:gridSpan w:val="7"/>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sz w:val="24"/>
                <w:szCs w:val="24"/>
              </w:rPr>
            </w:pPr>
            <w:r>
              <w:rPr>
                <w:sz w:val="24"/>
                <w:szCs w:val="24"/>
              </w:rPr>
              <w:t>燃油（吨/年）</w:t>
            </w:r>
          </w:p>
        </w:tc>
        <w:tc>
          <w:tcPr>
            <w:tcW w:w="2797" w:type="dxa"/>
            <w:gridSpan w:val="5"/>
            <w:tcBorders>
              <w:top w:val="single" w:color="auto" w:sz="4" w:space="0"/>
              <w:left w:val="single" w:color="auto" w:sz="4" w:space="0"/>
              <w:bottom w:val="single" w:color="auto" w:sz="4" w:space="0"/>
              <w:right w:val="single" w:color="auto" w:sz="8" w:space="0"/>
            </w:tcBorders>
            <w:vAlign w:val="center"/>
          </w:tcPr>
          <w:p>
            <w:pPr>
              <w:snapToGrid w:val="0"/>
              <w:spacing w:line="380" w:lineRule="exact"/>
              <w:jc w:val="center"/>
              <w:rPr>
                <w:sz w:val="24"/>
                <w:szCs w:val="24"/>
              </w:rPr>
            </w:pPr>
            <w:r>
              <w:rPr>
                <w:sz w:val="24"/>
                <w:szCs w:val="24"/>
              </w:rPr>
              <w:t>无</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gridAfter w:val="1"/>
          <w:wAfter w:w="8" w:type="dxa"/>
          <w:trHeight w:val="373" w:hRule="atLeast"/>
          <w:jc w:val="center"/>
        </w:trPr>
        <w:tc>
          <w:tcPr>
            <w:tcW w:w="1971" w:type="dxa"/>
            <w:gridSpan w:val="2"/>
            <w:tcBorders>
              <w:top w:val="single" w:color="auto" w:sz="4" w:space="0"/>
              <w:left w:val="single" w:color="auto" w:sz="8" w:space="0"/>
              <w:bottom w:val="single" w:color="auto" w:sz="4" w:space="0"/>
              <w:right w:val="single" w:color="auto" w:sz="4" w:space="0"/>
            </w:tcBorders>
            <w:vAlign w:val="center"/>
          </w:tcPr>
          <w:p>
            <w:pPr>
              <w:snapToGrid w:val="0"/>
              <w:spacing w:line="380" w:lineRule="exact"/>
              <w:jc w:val="center"/>
              <w:rPr>
                <w:sz w:val="24"/>
              </w:rPr>
            </w:pPr>
            <w:r>
              <w:rPr>
                <w:sz w:val="24"/>
              </w:rPr>
              <w:t>电（</w:t>
            </w:r>
            <w:r>
              <w:rPr>
                <w:rFonts w:hint="eastAsia"/>
                <w:sz w:val="24"/>
              </w:rPr>
              <w:t>万</w:t>
            </w:r>
            <w:r>
              <w:rPr>
                <w:sz w:val="24"/>
              </w:rPr>
              <w:t>度/年）</w:t>
            </w:r>
          </w:p>
        </w:tc>
        <w:tc>
          <w:tcPr>
            <w:tcW w:w="2172"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sz w:val="24"/>
              </w:rPr>
            </w:pPr>
            <w:r>
              <w:rPr>
                <w:rFonts w:hint="eastAsia"/>
                <w:sz w:val="24"/>
              </w:rPr>
              <w:t>645.3</w:t>
            </w:r>
          </w:p>
        </w:tc>
        <w:tc>
          <w:tcPr>
            <w:tcW w:w="2148" w:type="dxa"/>
            <w:gridSpan w:val="7"/>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sz w:val="24"/>
              </w:rPr>
            </w:pPr>
            <w:r>
              <w:rPr>
                <w:rFonts w:hint="eastAsia"/>
                <w:sz w:val="24"/>
              </w:rPr>
              <w:t>天然气（m</w:t>
            </w:r>
            <w:r>
              <w:rPr>
                <w:rFonts w:hint="eastAsia"/>
                <w:sz w:val="24"/>
                <w:vertAlign w:val="superscript"/>
              </w:rPr>
              <w:t>3</w:t>
            </w:r>
            <w:r>
              <w:rPr>
                <w:rFonts w:hint="eastAsia"/>
                <w:sz w:val="24"/>
              </w:rPr>
              <w:t>/a）</w:t>
            </w:r>
          </w:p>
        </w:tc>
        <w:tc>
          <w:tcPr>
            <w:tcW w:w="2797" w:type="dxa"/>
            <w:gridSpan w:val="5"/>
            <w:tcBorders>
              <w:top w:val="single" w:color="auto" w:sz="4" w:space="0"/>
              <w:left w:val="single" w:color="auto" w:sz="4" w:space="0"/>
              <w:bottom w:val="single" w:color="auto" w:sz="4" w:space="0"/>
              <w:right w:val="single" w:color="auto" w:sz="8" w:space="0"/>
            </w:tcBorders>
            <w:vAlign w:val="center"/>
          </w:tcPr>
          <w:p>
            <w:pPr>
              <w:snapToGrid w:val="0"/>
              <w:spacing w:line="380" w:lineRule="exact"/>
              <w:jc w:val="center"/>
              <w:rPr>
                <w:rFonts w:hint="eastAsia"/>
                <w:sz w:val="24"/>
              </w:rPr>
            </w:pPr>
            <w:r>
              <w:rPr>
                <w:rFonts w:hint="eastAsia"/>
                <w:sz w:val="24"/>
              </w:rPr>
              <w:t>无</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gridAfter w:val="1"/>
          <w:wAfter w:w="8" w:type="dxa"/>
          <w:trHeight w:val="373" w:hRule="atLeast"/>
          <w:jc w:val="center"/>
        </w:trPr>
        <w:tc>
          <w:tcPr>
            <w:tcW w:w="1971" w:type="dxa"/>
            <w:gridSpan w:val="2"/>
            <w:tcBorders>
              <w:top w:val="single" w:color="auto" w:sz="4" w:space="0"/>
              <w:left w:val="single" w:color="auto" w:sz="8" w:space="0"/>
              <w:bottom w:val="single" w:color="auto" w:sz="4" w:space="0"/>
              <w:right w:val="single" w:color="auto" w:sz="4" w:space="0"/>
            </w:tcBorders>
            <w:vAlign w:val="center"/>
          </w:tcPr>
          <w:p>
            <w:pPr>
              <w:snapToGrid w:val="0"/>
              <w:spacing w:line="380" w:lineRule="exact"/>
              <w:jc w:val="center"/>
              <w:rPr>
                <w:sz w:val="24"/>
              </w:rPr>
            </w:pPr>
            <w:r>
              <w:rPr>
                <w:sz w:val="24"/>
              </w:rPr>
              <w:t>燃煤（吨/年）</w:t>
            </w:r>
          </w:p>
        </w:tc>
        <w:tc>
          <w:tcPr>
            <w:tcW w:w="2172"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sz w:val="24"/>
              </w:rPr>
            </w:pPr>
            <w:r>
              <w:rPr>
                <w:sz w:val="24"/>
              </w:rPr>
              <w:t>无</w:t>
            </w:r>
          </w:p>
        </w:tc>
        <w:tc>
          <w:tcPr>
            <w:tcW w:w="2148" w:type="dxa"/>
            <w:gridSpan w:val="7"/>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sz w:val="24"/>
              </w:rPr>
            </w:pPr>
            <w:r>
              <w:rPr>
                <w:sz w:val="24"/>
              </w:rPr>
              <w:t>其它</w:t>
            </w:r>
          </w:p>
        </w:tc>
        <w:tc>
          <w:tcPr>
            <w:tcW w:w="2797" w:type="dxa"/>
            <w:gridSpan w:val="5"/>
            <w:tcBorders>
              <w:top w:val="single" w:color="auto" w:sz="4" w:space="0"/>
              <w:left w:val="single" w:color="auto" w:sz="4" w:space="0"/>
              <w:bottom w:val="single" w:color="auto" w:sz="4" w:space="0"/>
              <w:right w:val="single" w:color="auto" w:sz="8" w:space="0"/>
            </w:tcBorders>
            <w:vAlign w:val="center"/>
          </w:tcPr>
          <w:p>
            <w:pPr>
              <w:snapToGrid w:val="0"/>
              <w:spacing w:line="380" w:lineRule="exact"/>
              <w:jc w:val="center"/>
              <w:rPr>
                <w:sz w:val="24"/>
              </w:rPr>
            </w:pPr>
            <w:r>
              <w:rPr>
                <w:sz w:val="24"/>
              </w:rPr>
              <w:t>无</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4" w:hRule="atLeast"/>
          <w:jc w:val="center"/>
        </w:trPr>
        <w:tc>
          <w:tcPr>
            <w:tcW w:w="9096" w:type="dxa"/>
            <w:gridSpan w:val="20"/>
            <w:tcBorders>
              <w:top w:val="single" w:color="auto" w:sz="4" w:space="0"/>
              <w:left w:val="single" w:color="auto" w:sz="8" w:space="0"/>
              <w:bottom w:val="single" w:color="auto" w:sz="4" w:space="0"/>
              <w:right w:val="single" w:color="auto" w:sz="8" w:space="0"/>
            </w:tcBorders>
            <w:vAlign w:val="center"/>
          </w:tcPr>
          <w:p>
            <w:pPr>
              <w:snapToGrid w:val="0"/>
              <w:spacing w:line="380" w:lineRule="exact"/>
              <w:rPr>
                <w:sz w:val="24"/>
              </w:rPr>
            </w:pPr>
            <w:r>
              <w:rPr>
                <w:sz w:val="24"/>
              </w:rPr>
              <w:t>废水排水量及排放去向</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jc w:val="center"/>
        </w:trPr>
        <w:tc>
          <w:tcPr>
            <w:tcW w:w="1681" w:type="dxa"/>
            <w:tcBorders>
              <w:top w:val="single" w:color="auto" w:sz="4" w:space="0"/>
              <w:left w:val="single" w:color="auto" w:sz="8" w:space="0"/>
              <w:bottom w:val="single" w:color="auto" w:sz="4" w:space="0"/>
              <w:right w:val="single" w:color="auto" w:sz="4" w:space="0"/>
            </w:tcBorders>
            <w:vAlign w:val="center"/>
          </w:tcPr>
          <w:p>
            <w:pPr>
              <w:snapToGrid w:val="0"/>
              <w:spacing w:line="380" w:lineRule="exact"/>
              <w:jc w:val="center"/>
              <w:rPr>
                <w:sz w:val="24"/>
              </w:rPr>
            </w:pPr>
            <w:r>
              <w:rPr>
                <w:sz w:val="24"/>
              </w:rPr>
              <w:t>类    型</w:t>
            </w:r>
          </w:p>
        </w:tc>
        <w:tc>
          <w:tcPr>
            <w:tcW w:w="2312"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sz w:val="24"/>
              </w:rPr>
            </w:pPr>
            <w:r>
              <w:rPr>
                <w:sz w:val="24"/>
              </w:rPr>
              <w:t>年排水量（吨）</w:t>
            </w:r>
          </w:p>
        </w:tc>
        <w:tc>
          <w:tcPr>
            <w:tcW w:w="5103" w:type="dxa"/>
            <w:gridSpan w:val="15"/>
            <w:tcBorders>
              <w:top w:val="single" w:color="auto" w:sz="4" w:space="0"/>
              <w:left w:val="single" w:color="auto" w:sz="4" w:space="0"/>
              <w:bottom w:val="single" w:color="auto" w:sz="4" w:space="0"/>
              <w:right w:val="single" w:color="auto" w:sz="8" w:space="0"/>
            </w:tcBorders>
            <w:vAlign w:val="center"/>
          </w:tcPr>
          <w:p>
            <w:pPr>
              <w:snapToGrid w:val="0"/>
              <w:spacing w:line="380" w:lineRule="exact"/>
              <w:jc w:val="center"/>
              <w:rPr>
                <w:sz w:val="24"/>
              </w:rPr>
            </w:pPr>
            <w:r>
              <w:rPr>
                <w:sz w:val="24"/>
              </w:rPr>
              <w:t>排放去向</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1681" w:type="dxa"/>
            <w:tcBorders>
              <w:top w:val="single" w:color="auto" w:sz="4" w:space="0"/>
              <w:left w:val="single" w:color="auto" w:sz="8" w:space="0"/>
              <w:bottom w:val="single" w:color="auto" w:sz="4" w:space="0"/>
              <w:right w:val="single" w:color="auto" w:sz="4" w:space="0"/>
            </w:tcBorders>
            <w:vAlign w:val="center"/>
          </w:tcPr>
          <w:p>
            <w:pPr>
              <w:snapToGrid w:val="0"/>
              <w:spacing w:line="380" w:lineRule="exact"/>
              <w:jc w:val="center"/>
              <w:rPr>
                <w:sz w:val="24"/>
              </w:rPr>
            </w:pPr>
            <w:r>
              <w:rPr>
                <w:rFonts w:hint="eastAsia"/>
                <w:sz w:val="24"/>
              </w:rPr>
              <w:t>生产</w:t>
            </w:r>
            <w:r>
              <w:rPr>
                <w:sz w:val="24"/>
              </w:rPr>
              <w:t>废水</w:t>
            </w:r>
          </w:p>
        </w:tc>
        <w:tc>
          <w:tcPr>
            <w:tcW w:w="2312"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sz w:val="24"/>
              </w:rPr>
            </w:pPr>
            <w:r>
              <w:rPr>
                <w:rFonts w:hint="eastAsia"/>
                <w:sz w:val="24"/>
              </w:rPr>
              <w:t>0</w:t>
            </w:r>
          </w:p>
        </w:tc>
        <w:tc>
          <w:tcPr>
            <w:tcW w:w="5103" w:type="dxa"/>
            <w:gridSpan w:val="15"/>
            <w:vMerge w:val="restart"/>
            <w:tcBorders>
              <w:top w:val="single" w:color="auto" w:sz="4" w:space="0"/>
              <w:left w:val="single" w:color="auto" w:sz="4" w:space="0"/>
              <w:right w:val="single" w:color="auto" w:sz="8" w:space="0"/>
            </w:tcBorders>
            <w:vAlign w:val="center"/>
          </w:tcPr>
          <w:p>
            <w:pPr>
              <w:snapToGrid w:val="0"/>
              <w:spacing w:line="380" w:lineRule="exact"/>
              <w:jc w:val="left"/>
              <w:rPr>
                <w:rFonts w:hint="eastAsia"/>
                <w:sz w:val="24"/>
              </w:rPr>
            </w:pPr>
            <w:r>
              <w:rPr>
                <w:rFonts w:hint="eastAsia"/>
                <w:sz w:val="24"/>
              </w:rPr>
              <w:t xml:space="preserve">接管开发区污水处理厂，尾水排入兴武沟。 </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3" w:hRule="atLeast"/>
          <w:jc w:val="center"/>
        </w:trPr>
        <w:tc>
          <w:tcPr>
            <w:tcW w:w="1681" w:type="dxa"/>
            <w:tcBorders>
              <w:top w:val="single" w:color="auto" w:sz="4" w:space="0"/>
              <w:left w:val="single" w:color="auto" w:sz="8" w:space="0"/>
              <w:bottom w:val="single" w:color="auto" w:sz="4" w:space="0"/>
              <w:right w:val="single" w:color="auto" w:sz="4" w:space="0"/>
            </w:tcBorders>
            <w:vAlign w:val="center"/>
          </w:tcPr>
          <w:p>
            <w:pPr>
              <w:snapToGrid w:val="0"/>
              <w:spacing w:line="380" w:lineRule="exact"/>
              <w:jc w:val="center"/>
              <w:rPr>
                <w:sz w:val="24"/>
              </w:rPr>
            </w:pPr>
            <w:r>
              <w:rPr>
                <w:sz w:val="24"/>
              </w:rPr>
              <w:t>生活废水</w:t>
            </w:r>
          </w:p>
        </w:tc>
        <w:tc>
          <w:tcPr>
            <w:tcW w:w="2312"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sz w:val="24"/>
              </w:rPr>
            </w:pPr>
            <w:r>
              <w:rPr>
                <w:rFonts w:hint="eastAsia"/>
                <w:sz w:val="24"/>
              </w:rPr>
              <w:t>1080</w:t>
            </w:r>
          </w:p>
        </w:tc>
        <w:tc>
          <w:tcPr>
            <w:tcW w:w="5103" w:type="dxa"/>
            <w:gridSpan w:val="15"/>
            <w:vMerge w:val="continue"/>
            <w:tcBorders>
              <w:left w:val="single" w:color="auto" w:sz="4" w:space="0"/>
              <w:bottom w:val="single" w:color="000000" w:sz="4" w:space="0"/>
              <w:right w:val="single" w:color="auto" w:sz="8" w:space="0"/>
            </w:tcBorders>
            <w:vAlign w:val="center"/>
          </w:tcPr>
          <w:p>
            <w:pPr>
              <w:snapToGrid w:val="0"/>
              <w:spacing w:line="380" w:lineRule="exact"/>
              <w:rPr>
                <w:sz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10" w:hRule="atLeast"/>
          <w:jc w:val="center"/>
        </w:trPr>
        <w:tc>
          <w:tcPr>
            <w:tcW w:w="9096" w:type="dxa"/>
            <w:gridSpan w:val="20"/>
            <w:tcBorders>
              <w:top w:val="single" w:color="auto" w:sz="4" w:space="0"/>
              <w:left w:val="single" w:color="auto" w:sz="8" w:space="0"/>
              <w:bottom w:val="single" w:color="auto" w:sz="4" w:space="0"/>
              <w:right w:val="single" w:color="auto" w:sz="8" w:space="0"/>
            </w:tcBorders>
            <w:vAlign w:val="center"/>
          </w:tcPr>
          <w:p>
            <w:pPr>
              <w:spacing w:line="360" w:lineRule="auto"/>
              <w:rPr>
                <w:sz w:val="24"/>
                <w:szCs w:val="24"/>
              </w:rPr>
            </w:pPr>
            <w:r>
              <w:rPr>
                <w:sz w:val="24"/>
                <w:szCs w:val="24"/>
              </w:rPr>
              <w:t>放射性同位素和伴有电磁辐射的设施的使用情况</w:t>
            </w:r>
          </w:p>
          <w:p>
            <w:pPr>
              <w:snapToGrid w:val="0"/>
              <w:spacing w:line="380" w:lineRule="exact"/>
              <w:rPr>
                <w:sz w:val="24"/>
                <w:szCs w:val="24"/>
              </w:rPr>
            </w:pPr>
            <w:r>
              <w:rPr>
                <w:sz w:val="24"/>
                <w:szCs w:val="24"/>
              </w:rPr>
              <w:t>无</w:t>
            </w: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sz w:val="24"/>
                <w:szCs w:val="24"/>
              </w:rPr>
            </w:pPr>
          </w:p>
          <w:p>
            <w:pPr>
              <w:snapToGrid w:val="0"/>
              <w:spacing w:line="380" w:lineRule="exact"/>
              <w:jc w:val="center"/>
              <w:rPr>
                <w:rFonts w:hint="eastAsia"/>
                <w:sz w:val="24"/>
                <w:szCs w:val="24"/>
              </w:rPr>
            </w:pPr>
          </w:p>
        </w:tc>
      </w:tr>
    </w:tbl>
    <w:p>
      <w:pPr>
        <w:snapToGrid w:val="0"/>
        <w:rPr>
          <w:sz w:val="10"/>
          <w:szCs w:val="10"/>
        </w:rPr>
      </w:pPr>
    </w:p>
    <w:tbl>
      <w:tblPr>
        <w:tblStyle w:val="34"/>
        <w:tblW w:w="9322" w:type="dxa"/>
        <w:tblInd w:w="-35"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32"/>
        <w:gridCol w:w="849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322" w:type="dxa"/>
            <w:gridSpan w:val="2"/>
            <w:tcMar>
              <w:bottom w:w="284" w:type="dxa"/>
            </w:tcMar>
            <w:vAlign w:val="top"/>
          </w:tcPr>
          <w:p>
            <w:pPr>
              <w:snapToGrid w:val="0"/>
              <w:spacing w:line="360" w:lineRule="auto"/>
              <w:rPr>
                <w:rFonts w:hint="eastAsia"/>
                <w:b/>
                <w:bCs/>
                <w:szCs w:val="28"/>
              </w:rPr>
            </w:pPr>
            <w:r>
              <w:rPr>
                <w:rFonts w:hint="eastAsia"/>
                <w:b/>
                <w:szCs w:val="28"/>
              </w:rPr>
              <w:t>一</w:t>
            </w:r>
            <w:r>
              <w:rPr>
                <w:b/>
                <w:szCs w:val="28"/>
              </w:rPr>
              <w:t>、</w:t>
            </w:r>
            <w:r>
              <w:rPr>
                <w:b/>
                <w:bCs/>
                <w:szCs w:val="28"/>
              </w:rPr>
              <w:t>工程内容及规模：</w:t>
            </w:r>
          </w:p>
          <w:p>
            <w:pPr>
              <w:spacing w:line="360" w:lineRule="auto"/>
              <w:ind w:firstLine="479" w:firstLineChars="199"/>
              <w:rPr>
                <w:b/>
                <w:sz w:val="24"/>
              </w:rPr>
            </w:pPr>
            <w:r>
              <w:rPr>
                <w:rFonts w:hint="eastAsia"/>
                <w:b/>
                <w:sz w:val="24"/>
              </w:rPr>
              <w:t>（一）、项目由来</w:t>
            </w:r>
          </w:p>
          <w:p>
            <w:pPr>
              <w:autoSpaceDE w:val="0"/>
              <w:autoSpaceDN w:val="0"/>
              <w:adjustRightInd w:val="0"/>
              <w:spacing w:line="360" w:lineRule="auto"/>
              <w:ind w:firstLine="571" w:firstLineChars="238"/>
              <w:jc w:val="left"/>
              <w:rPr>
                <w:rFonts w:hint="eastAsia"/>
                <w:sz w:val="24"/>
              </w:rPr>
            </w:pPr>
            <w:r>
              <w:rPr>
                <w:rFonts w:hint="eastAsia"/>
                <w:sz w:val="24"/>
              </w:rPr>
              <w:t>本项目位于南京经济技术开发区，基地凭借得天独厚的优越条件，社会经济得到了长足发展。物流业作为制造业发展的配套产业，其发展程序制约着区域制造业的发展。虽然目前基地已经引进了部分物流企业，但在总体服务能力上仍远不能满足工业区经济发展要求。在此背景下，南京民聚德合金有限责任公司投资</w:t>
            </w:r>
            <w:r>
              <w:rPr>
                <w:rFonts w:hint="eastAsia"/>
                <w:sz w:val="24"/>
                <w:szCs w:val="24"/>
              </w:rPr>
              <w:t>1800万元新建</w:t>
            </w:r>
            <w:r>
              <w:rPr>
                <w:rFonts w:hint="eastAsia"/>
                <w:sz w:val="24"/>
              </w:rPr>
              <w:t>仓库建设项目，为基地及周边企业提供仓储服务，进一步强化物流基地的仓储配套能力。</w:t>
            </w:r>
          </w:p>
          <w:p>
            <w:pPr>
              <w:spacing w:line="360" w:lineRule="auto"/>
              <w:ind w:firstLine="480" w:firstLineChars="200"/>
              <w:rPr>
                <w:rFonts w:hint="eastAsia"/>
                <w:sz w:val="24"/>
              </w:rPr>
            </w:pPr>
            <w:r>
              <w:rPr>
                <w:rFonts w:hint="eastAsia"/>
                <w:sz w:val="24"/>
              </w:rPr>
              <w:t>根据国家《环境影响评价法》，受南京民聚德合金有限责任公司的委托，南京赛特环境工程有限公司承担该建设项目的环境影响评价工作，编制环境影响报告表。</w:t>
            </w:r>
          </w:p>
          <w:p>
            <w:pPr>
              <w:autoSpaceDE w:val="0"/>
              <w:autoSpaceDN w:val="0"/>
              <w:adjustRightInd w:val="0"/>
              <w:spacing w:line="360" w:lineRule="auto"/>
              <w:ind w:firstLine="571" w:firstLineChars="238"/>
              <w:jc w:val="left"/>
              <w:rPr>
                <w:rFonts w:hint="eastAsia"/>
                <w:sz w:val="24"/>
              </w:rPr>
            </w:pPr>
            <w:r>
              <w:rPr>
                <w:rFonts w:hint="eastAsia"/>
                <w:sz w:val="24"/>
              </w:rPr>
              <w:t>本项目所涉及的消防、安全及卫生问题不属于本评价范围，请南京民聚德合金有限责任公司按国家有关法律法规和相关标准执行。</w:t>
            </w:r>
          </w:p>
          <w:p>
            <w:pPr>
              <w:spacing w:line="360" w:lineRule="auto"/>
              <w:ind w:firstLine="472" w:firstLineChars="196"/>
              <w:rPr>
                <w:rFonts w:hint="eastAsia"/>
                <w:b/>
                <w:sz w:val="24"/>
              </w:rPr>
            </w:pPr>
            <w:r>
              <w:rPr>
                <w:rFonts w:hint="eastAsia"/>
                <w:b/>
                <w:sz w:val="24"/>
              </w:rPr>
              <w:t>（二）项目建设规模及主要建设内容</w:t>
            </w:r>
          </w:p>
          <w:p>
            <w:pPr>
              <w:numPr>
                <w:ilvl w:val="0"/>
                <w:numId w:val="3"/>
              </w:numPr>
              <w:spacing w:line="360" w:lineRule="auto"/>
              <w:ind w:firstLine="480" w:firstLineChars="200"/>
              <w:rPr>
                <w:rFonts w:hint="eastAsia"/>
                <w:sz w:val="24"/>
              </w:rPr>
            </w:pPr>
            <w:r>
              <w:rPr>
                <w:rFonts w:hint="eastAsia"/>
                <w:sz w:val="24"/>
              </w:rPr>
              <w:t>项目建设规模</w:t>
            </w:r>
          </w:p>
          <w:p>
            <w:pPr>
              <w:spacing w:line="360" w:lineRule="auto"/>
              <w:rPr>
                <w:rFonts w:hint="eastAsia"/>
                <w:color w:val="0000FF"/>
                <w:sz w:val="24"/>
              </w:rPr>
            </w:pPr>
            <w:r>
              <w:rPr>
                <w:rFonts w:hint="eastAsia"/>
                <w:sz w:val="24"/>
              </w:rPr>
              <w:t xml:space="preserve">    本项目为仓库建设项目，主要包括仓储配送区。本项目仓储配送区包括1栋2层仓库及堆场，建成后主要用于储存棉麻织物。</w:t>
            </w:r>
          </w:p>
          <w:p>
            <w:pPr>
              <w:spacing w:line="360" w:lineRule="auto"/>
              <w:rPr>
                <w:rFonts w:hint="eastAsia"/>
                <w:color w:val="0000FF"/>
                <w:sz w:val="24"/>
              </w:rPr>
            </w:pPr>
            <w:r>
              <w:rPr>
                <w:rFonts w:hint="eastAsia"/>
                <w:color w:val="0000FF"/>
                <w:sz w:val="24"/>
              </w:rPr>
              <w:t xml:space="preserve">   </w:t>
            </w:r>
            <w:r>
              <w:rPr>
                <w:rFonts w:hint="eastAsia"/>
                <w:sz w:val="24"/>
              </w:rPr>
              <w:t xml:space="preserve"> 本项目仓库内含包装车间，主要将各类散货商品集中包装为大箱，无原料分装。</w:t>
            </w:r>
          </w:p>
          <w:p>
            <w:pPr>
              <w:spacing w:line="440" w:lineRule="exact"/>
              <w:ind w:firstLine="480" w:firstLineChars="200"/>
              <w:rPr>
                <w:rFonts w:hint="eastAsia"/>
                <w:sz w:val="24"/>
              </w:rPr>
            </w:pPr>
            <w:r>
              <w:rPr>
                <w:rFonts w:hint="eastAsia"/>
                <w:sz w:val="24"/>
              </w:rPr>
              <w:t>2、建设内容</w:t>
            </w:r>
          </w:p>
          <w:p>
            <w:pPr>
              <w:spacing w:line="440" w:lineRule="exact"/>
              <w:ind w:firstLine="480" w:firstLineChars="200"/>
              <w:rPr>
                <w:sz w:val="24"/>
              </w:rPr>
            </w:pPr>
            <w:r>
              <w:rPr>
                <w:rFonts w:hint="eastAsia"/>
                <w:sz w:val="24"/>
              </w:rPr>
              <w:t>建设</w:t>
            </w:r>
            <w:r>
              <w:rPr>
                <w:sz w:val="24"/>
              </w:rPr>
              <w:t>项目</w:t>
            </w:r>
            <w:r>
              <w:rPr>
                <w:rFonts w:hint="eastAsia"/>
                <w:sz w:val="24"/>
              </w:rPr>
              <w:t>主要建设内容</w:t>
            </w:r>
            <w:r>
              <w:rPr>
                <w:sz w:val="24"/>
              </w:rPr>
              <w:t>见表</w:t>
            </w:r>
            <w:r>
              <w:rPr>
                <w:rFonts w:hint="eastAsia"/>
                <w:sz w:val="24"/>
              </w:rPr>
              <w:t>2</w:t>
            </w:r>
            <w:r>
              <w:rPr>
                <w:sz w:val="24"/>
              </w:rPr>
              <w:t>。</w:t>
            </w:r>
          </w:p>
          <w:p>
            <w:pPr>
              <w:spacing w:line="440" w:lineRule="exact"/>
              <w:ind w:firstLine="480" w:firstLineChars="200"/>
              <w:jc w:val="center"/>
              <w:rPr>
                <w:rFonts w:hint="eastAsia"/>
                <w:bCs/>
                <w:sz w:val="24"/>
              </w:rPr>
            </w:pPr>
            <w:r>
              <w:rPr>
                <w:bCs/>
                <w:sz w:val="24"/>
              </w:rPr>
              <w:t>表</w:t>
            </w:r>
            <w:r>
              <w:rPr>
                <w:rFonts w:hint="eastAsia"/>
                <w:bCs/>
                <w:sz w:val="24"/>
              </w:rPr>
              <w:t>2</w:t>
            </w:r>
            <w:r>
              <w:rPr>
                <w:bCs/>
                <w:sz w:val="24"/>
              </w:rPr>
              <w:t xml:space="preserve"> 建设项目主</w:t>
            </w:r>
            <w:r>
              <w:rPr>
                <w:rFonts w:hint="eastAsia"/>
                <w:bCs/>
                <w:sz w:val="24"/>
              </w:rPr>
              <w:t>要建设内容</w:t>
            </w:r>
          </w:p>
          <w:tbl>
            <w:tblPr>
              <w:tblStyle w:val="34"/>
              <w:tblW w:w="9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2325"/>
              <w:gridCol w:w="1875"/>
              <w:gridCol w:w="4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8" w:type="dxa"/>
                  <w:vAlign w:val="center"/>
                </w:tcPr>
                <w:p>
                  <w:pPr>
                    <w:tabs>
                      <w:tab w:val="left" w:pos="973"/>
                    </w:tabs>
                    <w:jc w:val="center"/>
                    <w:rPr>
                      <w:rFonts w:hint="eastAsia"/>
                      <w:sz w:val="21"/>
                      <w:szCs w:val="21"/>
                    </w:rPr>
                  </w:pPr>
                  <w:r>
                    <w:rPr>
                      <w:rFonts w:hint="eastAsia"/>
                      <w:sz w:val="21"/>
                      <w:szCs w:val="21"/>
                    </w:rPr>
                    <w:t>序号</w:t>
                  </w:r>
                </w:p>
              </w:tc>
              <w:tc>
                <w:tcPr>
                  <w:tcW w:w="2325" w:type="dxa"/>
                  <w:vAlign w:val="center"/>
                </w:tcPr>
                <w:p>
                  <w:pPr>
                    <w:tabs>
                      <w:tab w:val="left" w:pos="973"/>
                    </w:tabs>
                    <w:jc w:val="center"/>
                    <w:rPr>
                      <w:rFonts w:hint="eastAsia"/>
                      <w:sz w:val="21"/>
                      <w:szCs w:val="21"/>
                    </w:rPr>
                  </w:pPr>
                  <w:r>
                    <w:rPr>
                      <w:rFonts w:hint="eastAsia"/>
                      <w:sz w:val="21"/>
                      <w:szCs w:val="21"/>
                    </w:rPr>
                    <w:t>建设内容</w:t>
                  </w:r>
                </w:p>
              </w:tc>
              <w:tc>
                <w:tcPr>
                  <w:tcW w:w="1875" w:type="dxa"/>
                  <w:vAlign w:val="center"/>
                </w:tcPr>
                <w:p>
                  <w:pPr>
                    <w:tabs>
                      <w:tab w:val="left" w:pos="973"/>
                    </w:tabs>
                    <w:jc w:val="center"/>
                    <w:rPr>
                      <w:rFonts w:hint="eastAsia"/>
                      <w:sz w:val="21"/>
                      <w:szCs w:val="21"/>
                    </w:rPr>
                  </w:pPr>
                  <w:r>
                    <w:rPr>
                      <w:rFonts w:hint="eastAsia"/>
                      <w:sz w:val="21"/>
                      <w:szCs w:val="21"/>
                    </w:rPr>
                    <w:t>建设规模（</w:t>
                  </w:r>
                  <w:r>
                    <w:rPr>
                      <w:sz w:val="21"/>
                      <w:szCs w:val="21"/>
                    </w:rPr>
                    <w:t>m</w:t>
                  </w:r>
                  <w:r>
                    <w:rPr>
                      <w:sz w:val="21"/>
                      <w:szCs w:val="21"/>
                      <w:vertAlign w:val="superscript"/>
                    </w:rPr>
                    <w:t>2</w:t>
                  </w:r>
                  <w:r>
                    <w:rPr>
                      <w:rFonts w:hint="eastAsia"/>
                      <w:sz w:val="21"/>
                      <w:szCs w:val="21"/>
                    </w:rPr>
                    <w:t>）</w:t>
                  </w:r>
                </w:p>
              </w:tc>
              <w:tc>
                <w:tcPr>
                  <w:tcW w:w="4145" w:type="dxa"/>
                  <w:vAlign w:val="center"/>
                </w:tcPr>
                <w:p>
                  <w:pPr>
                    <w:tabs>
                      <w:tab w:val="left" w:pos="973"/>
                    </w:tabs>
                    <w:jc w:val="center"/>
                    <w:rPr>
                      <w:rFonts w:hint="eastAsia"/>
                      <w:sz w:val="21"/>
                      <w:szCs w:val="21"/>
                    </w:rPr>
                  </w:pPr>
                  <w:r>
                    <w:rPr>
                      <w:rFonts w:hint="eastAsia"/>
                      <w:sz w:val="21"/>
                      <w:szCs w:val="21"/>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8" w:type="dxa"/>
                  <w:vAlign w:val="center"/>
                </w:tcPr>
                <w:p>
                  <w:pPr>
                    <w:tabs>
                      <w:tab w:val="left" w:pos="973"/>
                    </w:tabs>
                    <w:jc w:val="center"/>
                    <w:rPr>
                      <w:rFonts w:hint="eastAsia"/>
                      <w:sz w:val="21"/>
                      <w:szCs w:val="21"/>
                    </w:rPr>
                  </w:pPr>
                  <w:r>
                    <w:rPr>
                      <w:sz w:val="21"/>
                      <w:szCs w:val="21"/>
                    </w:rPr>
                    <w:t>1</w:t>
                  </w:r>
                </w:p>
              </w:tc>
              <w:tc>
                <w:tcPr>
                  <w:tcW w:w="2325" w:type="dxa"/>
                  <w:vAlign w:val="center"/>
                </w:tcPr>
                <w:p>
                  <w:pPr>
                    <w:tabs>
                      <w:tab w:val="left" w:pos="973"/>
                    </w:tabs>
                    <w:jc w:val="center"/>
                    <w:rPr>
                      <w:rFonts w:hint="eastAsia"/>
                      <w:sz w:val="21"/>
                      <w:szCs w:val="21"/>
                    </w:rPr>
                  </w:pPr>
                  <w:r>
                    <w:rPr>
                      <w:rFonts w:hint="eastAsia"/>
                      <w:sz w:val="21"/>
                      <w:szCs w:val="21"/>
                    </w:rPr>
                    <w:t>仓库</w:t>
                  </w:r>
                </w:p>
              </w:tc>
              <w:tc>
                <w:tcPr>
                  <w:tcW w:w="1875" w:type="dxa"/>
                  <w:vAlign w:val="center"/>
                </w:tcPr>
                <w:p>
                  <w:pPr>
                    <w:tabs>
                      <w:tab w:val="left" w:pos="973"/>
                    </w:tabs>
                    <w:jc w:val="center"/>
                    <w:rPr>
                      <w:rFonts w:hint="eastAsia"/>
                      <w:sz w:val="21"/>
                      <w:szCs w:val="21"/>
                    </w:rPr>
                  </w:pPr>
                  <w:r>
                    <w:rPr>
                      <w:rFonts w:hint="eastAsia"/>
                      <w:sz w:val="21"/>
                      <w:szCs w:val="21"/>
                    </w:rPr>
                    <w:t>4125.02</w:t>
                  </w:r>
                </w:p>
              </w:tc>
              <w:tc>
                <w:tcPr>
                  <w:tcW w:w="4145" w:type="dxa"/>
                  <w:vAlign w:val="center"/>
                </w:tcPr>
                <w:p>
                  <w:pPr>
                    <w:tabs>
                      <w:tab w:val="left" w:pos="973"/>
                    </w:tabs>
                    <w:jc w:val="center"/>
                    <w:rPr>
                      <w:sz w:val="21"/>
                      <w:szCs w:val="21"/>
                    </w:rPr>
                  </w:pPr>
                  <w:r>
                    <w:rPr>
                      <w:sz w:val="21"/>
                      <w:szCs w:val="21"/>
                    </w:rPr>
                    <w:t>装备制造业、新材料行业原材料、产成品配送</w:t>
                  </w:r>
                  <w:r>
                    <w:rPr>
                      <w:rFonts w:hint="eastAsia"/>
                      <w:sz w:val="21"/>
                      <w:szCs w:val="21"/>
                    </w:rPr>
                    <w:t>，年物流量为2万t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8" w:type="dxa"/>
                  <w:vAlign w:val="center"/>
                </w:tcPr>
                <w:p>
                  <w:pPr>
                    <w:tabs>
                      <w:tab w:val="left" w:pos="973"/>
                    </w:tabs>
                    <w:jc w:val="center"/>
                    <w:rPr>
                      <w:rFonts w:hint="eastAsia"/>
                      <w:sz w:val="21"/>
                      <w:szCs w:val="21"/>
                    </w:rPr>
                  </w:pPr>
                  <w:r>
                    <w:rPr>
                      <w:sz w:val="21"/>
                      <w:szCs w:val="21"/>
                    </w:rPr>
                    <w:t>2</w:t>
                  </w:r>
                </w:p>
              </w:tc>
              <w:tc>
                <w:tcPr>
                  <w:tcW w:w="2325" w:type="dxa"/>
                  <w:vAlign w:val="center"/>
                </w:tcPr>
                <w:p>
                  <w:pPr>
                    <w:tabs>
                      <w:tab w:val="left" w:pos="973"/>
                    </w:tabs>
                    <w:jc w:val="center"/>
                    <w:rPr>
                      <w:rFonts w:hint="eastAsia"/>
                      <w:sz w:val="21"/>
                      <w:szCs w:val="21"/>
                    </w:rPr>
                  </w:pPr>
                  <w:r>
                    <w:rPr>
                      <w:rFonts w:hint="eastAsia"/>
                      <w:sz w:val="21"/>
                      <w:szCs w:val="21"/>
                    </w:rPr>
                    <w:t>其他用房</w:t>
                  </w:r>
                </w:p>
              </w:tc>
              <w:tc>
                <w:tcPr>
                  <w:tcW w:w="1875" w:type="dxa"/>
                  <w:vAlign w:val="center"/>
                </w:tcPr>
                <w:p>
                  <w:pPr>
                    <w:tabs>
                      <w:tab w:val="left" w:pos="973"/>
                    </w:tabs>
                    <w:jc w:val="center"/>
                    <w:rPr>
                      <w:rFonts w:hint="eastAsia"/>
                      <w:sz w:val="21"/>
                      <w:szCs w:val="21"/>
                    </w:rPr>
                  </w:pPr>
                  <w:r>
                    <w:rPr>
                      <w:rFonts w:hint="eastAsia"/>
                      <w:sz w:val="21"/>
                      <w:szCs w:val="21"/>
                    </w:rPr>
                    <w:t>24.57</w:t>
                  </w:r>
                </w:p>
              </w:tc>
              <w:tc>
                <w:tcPr>
                  <w:tcW w:w="4145" w:type="dxa"/>
                  <w:vAlign w:val="center"/>
                </w:tcPr>
                <w:p>
                  <w:pPr>
                    <w:tabs>
                      <w:tab w:val="left" w:pos="973"/>
                    </w:tabs>
                    <w:jc w:val="center"/>
                    <w:rPr>
                      <w:sz w:val="21"/>
                      <w:szCs w:val="21"/>
                    </w:rPr>
                  </w:pPr>
                  <w:r>
                    <w:rPr>
                      <w:rFonts w:hint="eastAsia"/>
                      <w:sz w:val="21"/>
                      <w:szCs w:val="21"/>
                    </w:rPr>
                    <w:t>门卫</w:t>
                  </w:r>
                </w:p>
              </w:tc>
            </w:tr>
          </w:tbl>
          <w:p>
            <w:pPr>
              <w:spacing w:line="440" w:lineRule="exact"/>
              <w:ind w:firstLine="480" w:firstLineChars="200"/>
              <w:rPr>
                <w:rFonts w:hint="eastAsia"/>
                <w:sz w:val="24"/>
              </w:rPr>
            </w:pPr>
            <w:r>
              <w:rPr>
                <w:rFonts w:hint="eastAsia"/>
                <w:sz w:val="24"/>
              </w:rPr>
              <w:t>2、主要经济技术指标</w:t>
            </w:r>
          </w:p>
          <w:p>
            <w:pPr>
              <w:spacing w:line="440" w:lineRule="exact"/>
              <w:ind w:firstLine="480" w:firstLineChars="200"/>
              <w:rPr>
                <w:rFonts w:hint="eastAsia"/>
                <w:sz w:val="24"/>
              </w:rPr>
            </w:pPr>
            <w:r>
              <w:rPr>
                <w:rFonts w:hint="eastAsia"/>
                <w:sz w:val="24"/>
              </w:rPr>
              <w:t>项目总投资约1800万元，其中环保投资约20万元。项目建筑工程主要经济技术指标见表3。</w:t>
            </w:r>
          </w:p>
          <w:p>
            <w:pPr>
              <w:jc w:val="center"/>
              <w:rPr>
                <w:sz w:val="24"/>
              </w:rPr>
            </w:pPr>
            <w:r>
              <w:rPr>
                <w:rFonts w:hint="eastAsia"/>
                <w:sz w:val="24"/>
              </w:rPr>
              <w:t xml:space="preserve">表3 </w:t>
            </w:r>
            <w:r>
              <w:rPr>
                <w:sz w:val="24"/>
              </w:rPr>
              <w:t>项目主要经济技术指标一览表</w:t>
            </w:r>
          </w:p>
          <w:tbl>
            <w:tblPr>
              <w:tblStyle w:val="34"/>
              <w:tblW w:w="9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938"/>
              <w:gridCol w:w="3031"/>
              <w:gridCol w:w="3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32" w:type="dxa"/>
                  <w:gridSpan w:val="2"/>
                  <w:vAlign w:val="center"/>
                </w:tcPr>
                <w:p>
                  <w:pPr>
                    <w:jc w:val="center"/>
                    <w:rPr>
                      <w:rFonts w:hint="eastAsia"/>
                      <w:sz w:val="21"/>
                      <w:szCs w:val="21"/>
                    </w:rPr>
                  </w:pPr>
                  <w:r>
                    <w:rPr>
                      <w:rFonts w:hint="eastAsia"/>
                      <w:sz w:val="21"/>
                      <w:szCs w:val="21"/>
                    </w:rPr>
                    <w:t>项目</w:t>
                  </w:r>
                </w:p>
              </w:tc>
              <w:tc>
                <w:tcPr>
                  <w:tcW w:w="3031" w:type="dxa"/>
                  <w:vAlign w:val="center"/>
                </w:tcPr>
                <w:p>
                  <w:pPr>
                    <w:jc w:val="center"/>
                    <w:rPr>
                      <w:rFonts w:hint="eastAsia"/>
                      <w:sz w:val="21"/>
                      <w:szCs w:val="21"/>
                    </w:rPr>
                  </w:pPr>
                  <w:r>
                    <w:rPr>
                      <w:rFonts w:hint="eastAsia"/>
                      <w:sz w:val="21"/>
                      <w:szCs w:val="21"/>
                    </w:rPr>
                    <w:t>单位</w:t>
                  </w:r>
                </w:p>
              </w:tc>
              <w:tc>
                <w:tcPr>
                  <w:tcW w:w="3033" w:type="dxa"/>
                  <w:vAlign w:val="center"/>
                </w:tcPr>
                <w:p>
                  <w:pPr>
                    <w:jc w:val="center"/>
                    <w:rPr>
                      <w:rFonts w:hint="eastAsia"/>
                      <w:sz w:val="21"/>
                      <w:szCs w:val="21"/>
                    </w:rPr>
                  </w:pPr>
                  <w:r>
                    <w:rPr>
                      <w:rFonts w:hint="eastAsia"/>
                      <w:sz w:val="21"/>
                      <w:szCs w:val="21"/>
                    </w:rPr>
                    <w:t>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32" w:type="dxa"/>
                  <w:gridSpan w:val="2"/>
                  <w:vAlign w:val="center"/>
                </w:tcPr>
                <w:p>
                  <w:pPr>
                    <w:jc w:val="center"/>
                    <w:rPr>
                      <w:rFonts w:hint="eastAsia"/>
                      <w:sz w:val="21"/>
                      <w:szCs w:val="21"/>
                    </w:rPr>
                  </w:pPr>
                  <w:r>
                    <w:rPr>
                      <w:rFonts w:hint="eastAsia"/>
                      <w:sz w:val="21"/>
                      <w:szCs w:val="21"/>
                    </w:rPr>
                    <w:t>规划用地面积</w:t>
                  </w:r>
                </w:p>
              </w:tc>
              <w:tc>
                <w:tcPr>
                  <w:tcW w:w="3031" w:type="dxa"/>
                  <w:vAlign w:val="center"/>
                </w:tcPr>
                <w:p>
                  <w:pPr>
                    <w:jc w:val="center"/>
                    <w:rPr>
                      <w:rFonts w:hint="eastAsia"/>
                      <w:sz w:val="21"/>
                      <w:szCs w:val="21"/>
                    </w:rPr>
                  </w:pPr>
                  <w:r>
                    <w:rPr>
                      <w:rFonts w:hint="eastAsia"/>
                      <w:sz w:val="21"/>
                      <w:szCs w:val="21"/>
                    </w:rPr>
                    <w:t>平方米</w:t>
                  </w:r>
                </w:p>
              </w:tc>
              <w:tc>
                <w:tcPr>
                  <w:tcW w:w="3033" w:type="dxa"/>
                  <w:vAlign w:val="center"/>
                </w:tcPr>
                <w:p>
                  <w:pPr>
                    <w:jc w:val="center"/>
                    <w:rPr>
                      <w:rFonts w:hint="eastAsia"/>
                      <w:sz w:val="21"/>
                      <w:szCs w:val="21"/>
                    </w:rPr>
                  </w:pPr>
                  <w:r>
                    <w:rPr>
                      <w:rFonts w:hint="eastAsia"/>
                      <w:sz w:val="21"/>
                    </w:rPr>
                    <w:t>7185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32" w:type="dxa"/>
                  <w:gridSpan w:val="2"/>
                  <w:vAlign w:val="center"/>
                </w:tcPr>
                <w:p>
                  <w:pPr>
                    <w:jc w:val="center"/>
                    <w:rPr>
                      <w:rFonts w:hint="eastAsia"/>
                      <w:sz w:val="21"/>
                      <w:szCs w:val="21"/>
                    </w:rPr>
                  </w:pPr>
                  <w:r>
                    <w:rPr>
                      <w:rFonts w:hint="eastAsia"/>
                      <w:sz w:val="21"/>
                      <w:szCs w:val="21"/>
                    </w:rPr>
                    <w:t>总建筑面积</w:t>
                  </w:r>
                </w:p>
              </w:tc>
              <w:tc>
                <w:tcPr>
                  <w:tcW w:w="3031" w:type="dxa"/>
                  <w:vAlign w:val="center"/>
                </w:tcPr>
                <w:p>
                  <w:pPr>
                    <w:jc w:val="center"/>
                    <w:rPr>
                      <w:rFonts w:hint="eastAsia"/>
                      <w:sz w:val="21"/>
                      <w:szCs w:val="21"/>
                    </w:rPr>
                  </w:pPr>
                  <w:r>
                    <w:rPr>
                      <w:rFonts w:hint="eastAsia"/>
                      <w:sz w:val="21"/>
                      <w:szCs w:val="21"/>
                    </w:rPr>
                    <w:t>平方米</w:t>
                  </w:r>
                </w:p>
              </w:tc>
              <w:tc>
                <w:tcPr>
                  <w:tcW w:w="3033" w:type="dxa"/>
                  <w:vAlign w:val="center"/>
                </w:tcPr>
                <w:p>
                  <w:pPr>
                    <w:jc w:val="center"/>
                    <w:rPr>
                      <w:rFonts w:hint="eastAsia"/>
                      <w:sz w:val="21"/>
                      <w:szCs w:val="21"/>
                    </w:rPr>
                  </w:pPr>
                  <w:r>
                    <w:rPr>
                      <w:rFonts w:hint="eastAsia"/>
                      <w:sz w:val="21"/>
                      <w:szCs w:val="21"/>
                    </w:rPr>
                    <w:t>4602.39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2" w:type="dxa"/>
                  <w:gridSpan w:val="2"/>
                  <w:vAlign w:val="center"/>
                </w:tcPr>
                <w:p>
                  <w:pPr>
                    <w:jc w:val="center"/>
                    <w:rPr>
                      <w:rFonts w:hint="eastAsia" w:ascii="宋体" w:hAnsi="宋体" w:cs="宋体"/>
                      <w:sz w:val="21"/>
                      <w:szCs w:val="21"/>
                    </w:rPr>
                  </w:pPr>
                  <w:r>
                    <w:rPr>
                      <w:rFonts w:hint="eastAsia" w:ascii="宋体" w:hAnsi="宋体" w:cs="宋体"/>
                      <w:sz w:val="21"/>
                      <w:szCs w:val="21"/>
                    </w:rPr>
                    <w:t>地上建筑面积</w:t>
                  </w:r>
                </w:p>
              </w:tc>
              <w:tc>
                <w:tcPr>
                  <w:tcW w:w="3031" w:type="dxa"/>
                  <w:vAlign w:val="center"/>
                </w:tcPr>
                <w:p>
                  <w:pPr>
                    <w:jc w:val="center"/>
                    <w:rPr>
                      <w:rFonts w:hint="eastAsia" w:ascii="宋体" w:hAnsi="宋体" w:cs="宋体"/>
                      <w:sz w:val="21"/>
                      <w:szCs w:val="21"/>
                    </w:rPr>
                  </w:pPr>
                  <w:r>
                    <w:rPr>
                      <w:rFonts w:hint="eastAsia" w:ascii="宋体" w:hAnsi="宋体" w:cs="宋体"/>
                      <w:sz w:val="21"/>
                      <w:szCs w:val="21"/>
                    </w:rPr>
                    <w:t>平方米</w:t>
                  </w:r>
                </w:p>
              </w:tc>
              <w:tc>
                <w:tcPr>
                  <w:tcW w:w="3033" w:type="dxa"/>
                  <w:vAlign w:val="center"/>
                </w:tcPr>
                <w:p>
                  <w:pPr>
                    <w:jc w:val="center"/>
                    <w:rPr>
                      <w:rFonts w:hint="eastAsia"/>
                      <w:sz w:val="21"/>
                      <w:szCs w:val="21"/>
                    </w:rPr>
                  </w:pPr>
                  <w:r>
                    <w:rPr>
                      <w:rFonts w:hint="eastAsia"/>
                      <w:sz w:val="21"/>
                      <w:szCs w:val="21"/>
                    </w:rPr>
                    <w:t>4187.02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 w:type="dxa"/>
                  <w:vMerge w:val="restart"/>
                  <w:vAlign w:val="center"/>
                </w:tcPr>
                <w:p>
                  <w:pPr>
                    <w:jc w:val="center"/>
                    <w:rPr>
                      <w:rFonts w:hint="eastAsia" w:ascii="宋体" w:hAnsi="宋体" w:cs="宋体"/>
                      <w:sz w:val="21"/>
                      <w:szCs w:val="21"/>
                    </w:rPr>
                  </w:pPr>
                  <w:r>
                    <w:rPr>
                      <w:rFonts w:hint="eastAsia" w:ascii="宋体" w:hAnsi="宋体" w:cs="宋体"/>
                      <w:sz w:val="21"/>
                      <w:szCs w:val="21"/>
                    </w:rPr>
                    <w:t>其中</w:t>
                  </w:r>
                </w:p>
              </w:tc>
              <w:tc>
                <w:tcPr>
                  <w:tcW w:w="1938" w:type="dxa"/>
                  <w:vAlign w:val="center"/>
                </w:tcPr>
                <w:p>
                  <w:pPr>
                    <w:jc w:val="center"/>
                    <w:rPr>
                      <w:rFonts w:hint="eastAsia" w:ascii="宋体" w:hAnsi="宋体" w:cs="宋体"/>
                      <w:sz w:val="21"/>
                      <w:szCs w:val="21"/>
                    </w:rPr>
                  </w:pPr>
                  <w:r>
                    <w:rPr>
                      <w:rFonts w:hint="eastAsia" w:ascii="宋体" w:hAnsi="宋体" w:cs="宋体"/>
                      <w:sz w:val="21"/>
                    </w:rPr>
                    <w:t>仓库</w:t>
                  </w:r>
                </w:p>
              </w:tc>
              <w:tc>
                <w:tcPr>
                  <w:tcW w:w="3031" w:type="dxa"/>
                  <w:vAlign w:val="center"/>
                </w:tcPr>
                <w:p>
                  <w:pPr>
                    <w:jc w:val="center"/>
                    <w:rPr>
                      <w:rFonts w:hint="eastAsia" w:ascii="宋体" w:hAnsi="宋体" w:cs="宋体"/>
                      <w:sz w:val="21"/>
                      <w:szCs w:val="21"/>
                    </w:rPr>
                  </w:pPr>
                  <w:r>
                    <w:rPr>
                      <w:rFonts w:hint="eastAsia" w:ascii="宋体" w:hAnsi="宋体" w:cs="宋体"/>
                      <w:sz w:val="21"/>
                      <w:szCs w:val="21"/>
                    </w:rPr>
                    <w:t>平方米</w:t>
                  </w:r>
                </w:p>
              </w:tc>
              <w:tc>
                <w:tcPr>
                  <w:tcW w:w="3033" w:type="dxa"/>
                  <w:vAlign w:val="center"/>
                </w:tcPr>
                <w:p>
                  <w:pPr>
                    <w:jc w:val="center"/>
                    <w:rPr>
                      <w:rFonts w:hint="eastAsia"/>
                      <w:sz w:val="21"/>
                      <w:szCs w:val="21"/>
                    </w:rPr>
                  </w:pPr>
                  <w:r>
                    <w:rPr>
                      <w:rFonts w:hint="eastAsia"/>
                      <w:sz w:val="21"/>
                      <w:szCs w:val="21"/>
                    </w:rPr>
                    <w:t>4125.02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 w:type="dxa"/>
                  <w:vMerge w:val="continue"/>
                  <w:vAlign w:val="center"/>
                </w:tcPr>
                <w:p>
                  <w:pPr>
                    <w:jc w:val="center"/>
                    <w:rPr>
                      <w:rFonts w:hint="eastAsia" w:ascii="宋体" w:hAnsi="宋体" w:cs="宋体"/>
                      <w:sz w:val="21"/>
                      <w:szCs w:val="21"/>
                    </w:rPr>
                  </w:pPr>
                </w:p>
              </w:tc>
              <w:tc>
                <w:tcPr>
                  <w:tcW w:w="1938" w:type="dxa"/>
                  <w:vAlign w:val="center"/>
                </w:tcPr>
                <w:p>
                  <w:pPr>
                    <w:jc w:val="center"/>
                    <w:rPr>
                      <w:rFonts w:hint="eastAsia" w:ascii="宋体" w:hAnsi="宋体" w:cs="宋体"/>
                      <w:sz w:val="21"/>
                      <w:szCs w:val="21"/>
                    </w:rPr>
                  </w:pPr>
                  <w:r>
                    <w:rPr>
                      <w:rFonts w:hint="eastAsia" w:ascii="宋体" w:hAnsi="宋体" w:cs="宋体"/>
                      <w:sz w:val="21"/>
                    </w:rPr>
                    <w:t>门卫</w:t>
                  </w:r>
                </w:p>
              </w:tc>
              <w:tc>
                <w:tcPr>
                  <w:tcW w:w="3031" w:type="dxa"/>
                  <w:vAlign w:val="center"/>
                </w:tcPr>
                <w:p>
                  <w:pPr>
                    <w:jc w:val="center"/>
                    <w:rPr>
                      <w:rFonts w:hint="eastAsia" w:ascii="宋体" w:hAnsi="宋体" w:cs="宋体"/>
                      <w:sz w:val="21"/>
                      <w:szCs w:val="21"/>
                    </w:rPr>
                  </w:pPr>
                  <w:r>
                    <w:rPr>
                      <w:rFonts w:hint="eastAsia" w:ascii="宋体" w:hAnsi="宋体" w:cs="宋体"/>
                      <w:sz w:val="21"/>
                      <w:szCs w:val="21"/>
                    </w:rPr>
                    <w:t>平方米</w:t>
                  </w:r>
                </w:p>
              </w:tc>
              <w:tc>
                <w:tcPr>
                  <w:tcW w:w="3033" w:type="dxa"/>
                  <w:vAlign w:val="center"/>
                </w:tcPr>
                <w:p>
                  <w:pPr>
                    <w:jc w:val="center"/>
                    <w:rPr>
                      <w:rFonts w:hint="eastAsia"/>
                      <w:sz w:val="21"/>
                      <w:szCs w:val="21"/>
                    </w:rPr>
                  </w:pPr>
                  <w:r>
                    <w:rPr>
                      <w:rFonts w:hint="eastAsia"/>
                      <w:sz w:val="21"/>
                      <w:szCs w:val="21"/>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2" w:type="dxa"/>
                  <w:gridSpan w:val="2"/>
                  <w:vAlign w:val="center"/>
                </w:tcPr>
                <w:p>
                  <w:pPr>
                    <w:jc w:val="center"/>
                    <w:rPr>
                      <w:rFonts w:hint="eastAsia" w:ascii="宋体" w:hAnsi="宋体" w:cs="宋体"/>
                      <w:sz w:val="21"/>
                      <w:szCs w:val="21"/>
                    </w:rPr>
                  </w:pPr>
                  <w:r>
                    <w:rPr>
                      <w:rFonts w:hint="eastAsia" w:ascii="宋体" w:hAnsi="宋体" w:cs="宋体"/>
                      <w:sz w:val="21"/>
                      <w:szCs w:val="21"/>
                    </w:rPr>
                    <w:t>地下建筑面积</w:t>
                  </w:r>
                </w:p>
              </w:tc>
              <w:tc>
                <w:tcPr>
                  <w:tcW w:w="3031" w:type="dxa"/>
                  <w:vAlign w:val="center"/>
                </w:tcPr>
                <w:p>
                  <w:pPr>
                    <w:jc w:val="center"/>
                    <w:rPr>
                      <w:rFonts w:hint="eastAsia" w:ascii="宋体" w:hAnsi="宋体" w:cs="宋体"/>
                      <w:sz w:val="21"/>
                      <w:szCs w:val="21"/>
                    </w:rPr>
                  </w:pPr>
                  <w:r>
                    <w:rPr>
                      <w:rFonts w:hint="eastAsia" w:ascii="宋体" w:hAnsi="宋体" w:cs="宋体"/>
                      <w:sz w:val="21"/>
                      <w:szCs w:val="21"/>
                    </w:rPr>
                    <w:t>平方米</w:t>
                  </w:r>
                </w:p>
              </w:tc>
              <w:tc>
                <w:tcPr>
                  <w:tcW w:w="3033" w:type="dxa"/>
                  <w:vAlign w:val="center"/>
                </w:tcPr>
                <w:p>
                  <w:pPr>
                    <w:jc w:val="center"/>
                    <w:rPr>
                      <w:rFonts w:hint="eastAsia"/>
                      <w:sz w:val="21"/>
                      <w:szCs w:val="21"/>
                    </w:rPr>
                  </w:pPr>
                  <w:r>
                    <w:rPr>
                      <w:rFonts w:hint="eastAsia"/>
                      <w:sz w:val="21"/>
                      <w:szCs w:val="21"/>
                    </w:rPr>
                    <w:t>415.37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2" w:type="dxa"/>
                  <w:gridSpan w:val="2"/>
                  <w:vAlign w:val="center"/>
                </w:tcPr>
                <w:p>
                  <w:pPr>
                    <w:jc w:val="center"/>
                    <w:rPr>
                      <w:rFonts w:hint="eastAsia" w:ascii="宋体" w:hAnsi="宋体" w:cs="宋体"/>
                      <w:sz w:val="21"/>
                      <w:szCs w:val="21"/>
                    </w:rPr>
                  </w:pPr>
                  <w:r>
                    <w:rPr>
                      <w:rFonts w:hint="eastAsia" w:ascii="宋体" w:hAnsi="宋体" w:cs="宋体"/>
                      <w:sz w:val="21"/>
                    </w:rPr>
                    <w:t>建筑占地面积</w:t>
                  </w:r>
                </w:p>
              </w:tc>
              <w:tc>
                <w:tcPr>
                  <w:tcW w:w="3031" w:type="dxa"/>
                  <w:vAlign w:val="center"/>
                </w:tcPr>
                <w:p>
                  <w:pPr>
                    <w:jc w:val="center"/>
                    <w:rPr>
                      <w:rFonts w:hint="eastAsia" w:ascii="宋体" w:hAnsi="宋体" w:cs="宋体"/>
                      <w:sz w:val="21"/>
                      <w:szCs w:val="21"/>
                    </w:rPr>
                  </w:pPr>
                  <w:r>
                    <w:rPr>
                      <w:rFonts w:hint="eastAsia" w:ascii="宋体" w:hAnsi="宋体" w:cs="宋体"/>
                      <w:sz w:val="21"/>
                      <w:szCs w:val="21"/>
                    </w:rPr>
                    <w:t>平方米</w:t>
                  </w:r>
                </w:p>
              </w:tc>
              <w:tc>
                <w:tcPr>
                  <w:tcW w:w="3033" w:type="dxa"/>
                  <w:vAlign w:val="center"/>
                </w:tcPr>
                <w:p>
                  <w:pPr>
                    <w:jc w:val="center"/>
                    <w:rPr>
                      <w:rFonts w:hint="eastAsia"/>
                      <w:sz w:val="21"/>
                      <w:szCs w:val="21"/>
                    </w:rPr>
                  </w:pPr>
                  <w:r>
                    <w:rPr>
                      <w:rFonts w:hint="eastAsia"/>
                      <w:sz w:val="21"/>
                      <w:szCs w:val="21"/>
                    </w:rPr>
                    <w:t>2055.38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2" w:type="dxa"/>
                  <w:gridSpan w:val="2"/>
                  <w:vAlign w:val="center"/>
                </w:tcPr>
                <w:p>
                  <w:pPr>
                    <w:jc w:val="center"/>
                    <w:rPr>
                      <w:rFonts w:hint="eastAsia" w:ascii="宋体" w:hAnsi="宋体" w:cs="宋体"/>
                      <w:sz w:val="21"/>
                      <w:szCs w:val="21"/>
                    </w:rPr>
                  </w:pPr>
                  <w:r>
                    <w:rPr>
                      <w:rFonts w:hint="eastAsia" w:ascii="宋体" w:hAnsi="宋体" w:cs="宋体"/>
                      <w:sz w:val="21"/>
                      <w:szCs w:val="21"/>
                    </w:rPr>
                    <w:t>建筑密度</w:t>
                  </w:r>
                </w:p>
              </w:tc>
              <w:tc>
                <w:tcPr>
                  <w:tcW w:w="3031" w:type="dxa"/>
                  <w:vAlign w:val="center"/>
                </w:tcPr>
                <w:p>
                  <w:pPr>
                    <w:jc w:val="center"/>
                    <w:rPr>
                      <w:rFonts w:hint="eastAsia" w:ascii="宋体" w:hAnsi="宋体" w:cs="宋体"/>
                      <w:sz w:val="21"/>
                      <w:szCs w:val="21"/>
                    </w:rPr>
                  </w:pPr>
                  <w:r>
                    <w:rPr>
                      <w:rFonts w:hint="eastAsia" w:ascii="宋体" w:hAnsi="宋体" w:cs="宋体"/>
                      <w:sz w:val="21"/>
                      <w:szCs w:val="21"/>
                    </w:rPr>
                    <w:t>/</w:t>
                  </w:r>
                </w:p>
              </w:tc>
              <w:tc>
                <w:tcPr>
                  <w:tcW w:w="3033" w:type="dxa"/>
                  <w:vAlign w:val="center"/>
                </w:tcPr>
                <w:p>
                  <w:pPr>
                    <w:jc w:val="center"/>
                    <w:rPr>
                      <w:rFonts w:hint="eastAsia"/>
                      <w:sz w:val="21"/>
                      <w:szCs w:val="21"/>
                    </w:rPr>
                  </w:pPr>
                  <w:r>
                    <w:rPr>
                      <w:rFonts w:hint="eastAsia"/>
                      <w:sz w:val="21"/>
                      <w:szCs w:val="21"/>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2" w:type="dxa"/>
                  <w:gridSpan w:val="2"/>
                  <w:vAlign w:val="center"/>
                </w:tcPr>
                <w:p>
                  <w:pPr>
                    <w:jc w:val="center"/>
                    <w:rPr>
                      <w:rFonts w:hint="eastAsia" w:ascii="宋体" w:hAnsi="宋体" w:cs="宋体"/>
                      <w:sz w:val="21"/>
                      <w:szCs w:val="21"/>
                    </w:rPr>
                  </w:pPr>
                  <w:r>
                    <w:rPr>
                      <w:rFonts w:hint="eastAsia" w:ascii="宋体" w:hAnsi="宋体" w:cs="宋体"/>
                      <w:sz w:val="21"/>
                      <w:szCs w:val="21"/>
                    </w:rPr>
                    <w:t>绿化率</w:t>
                  </w:r>
                </w:p>
              </w:tc>
              <w:tc>
                <w:tcPr>
                  <w:tcW w:w="3031" w:type="dxa"/>
                  <w:vAlign w:val="center"/>
                </w:tcPr>
                <w:p>
                  <w:pPr>
                    <w:jc w:val="center"/>
                    <w:rPr>
                      <w:rFonts w:hint="eastAsia" w:ascii="宋体" w:hAnsi="宋体" w:cs="宋体"/>
                      <w:sz w:val="21"/>
                      <w:szCs w:val="21"/>
                    </w:rPr>
                  </w:pPr>
                  <w:r>
                    <w:rPr>
                      <w:rFonts w:hint="eastAsia" w:ascii="宋体" w:hAnsi="宋体" w:cs="宋体"/>
                      <w:sz w:val="21"/>
                      <w:szCs w:val="21"/>
                    </w:rPr>
                    <w:t>/</w:t>
                  </w:r>
                </w:p>
              </w:tc>
              <w:tc>
                <w:tcPr>
                  <w:tcW w:w="3033" w:type="dxa"/>
                  <w:vAlign w:val="center"/>
                </w:tcPr>
                <w:p>
                  <w:pPr>
                    <w:jc w:val="center"/>
                    <w:rPr>
                      <w:rFonts w:hint="eastAsia"/>
                      <w:sz w:val="21"/>
                      <w:szCs w:val="21"/>
                    </w:rPr>
                  </w:pPr>
                  <w:r>
                    <w:rPr>
                      <w:rFonts w:hint="eastAsia"/>
                      <w:sz w:val="21"/>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2" w:type="dxa"/>
                  <w:gridSpan w:val="2"/>
                  <w:vAlign w:val="center"/>
                </w:tcPr>
                <w:p>
                  <w:pPr>
                    <w:jc w:val="center"/>
                    <w:rPr>
                      <w:rFonts w:hint="eastAsia" w:ascii="宋体" w:hAnsi="宋体" w:cs="宋体"/>
                      <w:sz w:val="21"/>
                      <w:szCs w:val="21"/>
                    </w:rPr>
                  </w:pPr>
                  <w:r>
                    <w:rPr>
                      <w:rFonts w:hint="eastAsia" w:ascii="宋体" w:hAnsi="宋体" w:cs="宋体"/>
                      <w:sz w:val="21"/>
                      <w:szCs w:val="21"/>
                    </w:rPr>
                    <w:t>容积率</w:t>
                  </w:r>
                </w:p>
              </w:tc>
              <w:tc>
                <w:tcPr>
                  <w:tcW w:w="3031" w:type="dxa"/>
                  <w:vAlign w:val="center"/>
                </w:tcPr>
                <w:p>
                  <w:pPr>
                    <w:jc w:val="center"/>
                    <w:rPr>
                      <w:rFonts w:hint="eastAsia" w:ascii="宋体" w:hAnsi="宋体" w:cs="宋体"/>
                      <w:sz w:val="21"/>
                      <w:szCs w:val="21"/>
                    </w:rPr>
                  </w:pPr>
                </w:p>
              </w:tc>
              <w:tc>
                <w:tcPr>
                  <w:tcW w:w="3033" w:type="dxa"/>
                  <w:vAlign w:val="center"/>
                </w:tcPr>
                <w:p>
                  <w:pPr>
                    <w:jc w:val="center"/>
                    <w:rPr>
                      <w:rFonts w:hint="eastAsia"/>
                      <w:sz w:val="21"/>
                      <w:szCs w:val="21"/>
                    </w:rPr>
                  </w:pPr>
                  <w:r>
                    <w:rPr>
                      <w:rFonts w:hint="eastAsia"/>
                      <w:sz w:val="21"/>
                      <w:szCs w:val="21"/>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2" w:type="dxa"/>
                  <w:gridSpan w:val="2"/>
                  <w:vAlign w:val="center"/>
                </w:tcPr>
                <w:p>
                  <w:pPr>
                    <w:jc w:val="center"/>
                    <w:rPr>
                      <w:rFonts w:hint="eastAsia" w:ascii="宋体" w:hAnsi="宋体" w:cs="宋体"/>
                      <w:sz w:val="21"/>
                      <w:szCs w:val="21"/>
                    </w:rPr>
                  </w:pPr>
                  <w:r>
                    <w:rPr>
                      <w:rFonts w:hint="eastAsia" w:ascii="宋体" w:hAnsi="宋体" w:cs="宋体"/>
                      <w:sz w:val="21"/>
                      <w:szCs w:val="21"/>
                    </w:rPr>
                    <w:t>机动车停车位</w:t>
                  </w:r>
                </w:p>
              </w:tc>
              <w:tc>
                <w:tcPr>
                  <w:tcW w:w="3031" w:type="dxa"/>
                  <w:vAlign w:val="center"/>
                </w:tcPr>
                <w:p>
                  <w:pPr>
                    <w:jc w:val="center"/>
                    <w:rPr>
                      <w:rFonts w:hint="eastAsia" w:ascii="宋体" w:hAnsi="宋体" w:cs="宋体"/>
                      <w:sz w:val="21"/>
                      <w:szCs w:val="21"/>
                    </w:rPr>
                  </w:pPr>
                </w:p>
              </w:tc>
              <w:tc>
                <w:tcPr>
                  <w:tcW w:w="3033" w:type="dxa"/>
                  <w:vAlign w:val="center"/>
                </w:tcPr>
                <w:p>
                  <w:pPr>
                    <w:jc w:val="center"/>
                    <w:rPr>
                      <w:rFonts w:hint="eastAsia"/>
                      <w:sz w:val="21"/>
                      <w:szCs w:val="21"/>
                    </w:rPr>
                  </w:pPr>
                  <w:r>
                    <w:rPr>
                      <w:rFonts w:hint="eastAsia"/>
                      <w:sz w:val="21"/>
                      <w:szCs w:val="21"/>
                    </w:rPr>
                    <w:t>8辆</w:t>
                  </w:r>
                </w:p>
              </w:tc>
            </w:tr>
          </w:tbl>
          <w:p>
            <w:pPr>
              <w:numPr>
                <w:ilvl w:val="0"/>
                <w:numId w:val="4"/>
              </w:numPr>
              <w:spacing w:line="360" w:lineRule="auto"/>
              <w:ind w:firstLine="480" w:firstLineChars="200"/>
              <w:rPr>
                <w:rFonts w:hint="eastAsia"/>
                <w:sz w:val="24"/>
              </w:rPr>
            </w:pPr>
            <w:r>
              <w:rPr>
                <w:rFonts w:hint="eastAsia"/>
                <w:sz w:val="24"/>
              </w:rPr>
              <w:t>劳动定员及工作制度</w:t>
            </w:r>
          </w:p>
          <w:p>
            <w:pPr>
              <w:spacing w:line="360" w:lineRule="auto"/>
              <w:rPr>
                <w:rFonts w:hint="eastAsia"/>
                <w:color w:val="FF0000"/>
                <w:sz w:val="24"/>
              </w:rPr>
            </w:pPr>
            <w:r>
              <w:rPr>
                <w:rFonts w:hint="eastAsia"/>
                <w:sz w:val="24"/>
              </w:rPr>
              <w:t xml:space="preserve">   </w:t>
            </w:r>
            <w:r>
              <w:rPr>
                <w:rFonts w:hint="eastAsia"/>
                <w:color w:val="FF0000"/>
                <w:sz w:val="24"/>
              </w:rPr>
              <w:t xml:space="preserve"> </w:t>
            </w:r>
            <w:r>
              <w:rPr>
                <w:color w:val="FF0000"/>
                <w:sz w:val="24"/>
              </w:rPr>
              <w:t>本项目定员</w:t>
            </w:r>
            <w:r>
              <w:rPr>
                <w:rFonts w:hint="eastAsia"/>
                <w:color w:val="FF0000"/>
                <w:sz w:val="24"/>
              </w:rPr>
              <w:t>约30</w:t>
            </w:r>
            <w:r>
              <w:rPr>
                <w:color w:val="FF0000"/>
                <w:sz w:val="24"/>
              </w:rPr>
              <w:t>人。</w:t>
            </w:r>
            <w:r>
              <w:rPr>
                <w:rFonts w:hint="eastAsia"/>
                <w:color w:val="FF0000"/>
                <w:sz w:val="24"/>
              </w:rPr>
              <w:t>采取两班制，</w:t>
            </w:r>
            <w:r>
              <w:rPr>
                <w:color w:val="FF0000"/>
                <w:sz w:val="24"/>
              </w:rPr>
              <w:t>年工作3</w:t>
            </w:r>
            <w:r>
              <w:rPr>
                <w:rFonts w:hint="eastAsia"/>
                <w:color w:val="FF0000"/>
                <w:sz w:val="24"/>
              </w:rPr>
              <w:t>60</w:t>
            </w:r>
            <w:r>
              <w:rPr>
                <w:color w:val="FF0000"/>
                <w:sz w:val="24"/>
              </w:rPr>
              <w:t>天，</w:t>
            </w:r>
            <w:r>
              <w:rPr>
                <w:rFonts w:hint="eastAsia"/>
                <w:color w:val="FF0000"/>
                <w:sz w:val="24"/>
              </w:rPr>
              <w:t>每班工作8小时</w:t>
            </w:r>
            <w:r>
              <w:rPr>
                <w:color w:val="FF0000"/>
                <w:sz w:val="24"/>
              </w:rPr>
              <w:t>。</w:t>
            </w:r>
          </w:p>
          <w:p>
            <w:pPr>
              <w:spacing w:line="360" w:lineRule="auto"/>
              <w:ind w:firstLine="482" w:firstLineChars="200"/>
              <w:rPr>
                <w:rFonts w:hint="eastAsia"/>
                <w:b/>
                <w:sz w:val="24"/>
              </w:rPr>
            </w:pPr>
            <w:r>
              <w:rPr>
                <w:rFonts w:hint="eastAsia"/>
                <w:b/>
                <w:sz w:val="24"/>
              </w:rPr>
              <w:t>（三）、项目地理位置及平面布置</w:t>
            </w:r>
          </w:p>
          <w:p>
            <w:pPr>
              <w:spacing w:line="360" w:lineRule="auto"/>
              <w:ind w:firstLine="480" w:firstLineChars="200"/>
              <w:rPr>
                <w:rFonts w:hint="eastAsia"/>
                <w:sz w:val="24"/>
              </w:rPr>
            </w:pPr>
            <w:r>
              <w:rPr>
                <w:rFonts w:hint="eastAsia"/>
                <w:sz w:val="24"/>
              </w:rPr>
              <w:t>民聚德仓库建设项目</w:t>
            </w:r>
            <w:r>
              <w:rPr>
                <w:rFonts w:hint="eastAsia" w:ascii="宋体" w:hAnsi="宋体"/>
                <w:sz w:val="24"/>
              </w:rPr>
              <w:t>位于</w:t>
            </w:r>
            <w:r>
              <w:rPr>
                <w:rFonts w:hint="eastAsia"/>
                <w:sz w:val="24"/>
              </w:rPr>
              <w:t>南京市经济技术开发区恒泰路与兴吴路交叉口</w:t>
            </w:r>
            <w:r>
              <w:rPr>
                <w:sz w:val="24"/>
              </w:rPr>
              <w:t>，</w:t>
            </w:r>
            <w:r>
              <w:rPr>
                <w:rFonts w:hint="eastAsia"/>
                <w:sz w:val="24"/>
              </w:rPr>
              <w:t>公司地理位置图见附图1。</w:t>
            </w:r>
          </w:p>
          <w:p>
            <w:pPr>
              <w:spacing w:line="360" w:lineRule="auto"/>
              <w:ind w:firstLine="480" w:firstLineChars="200"/>
              <w:rPr>
                <w:rFonts w:hint="eastAsia"/>
                <w:sz w:val="24"/>
              </w:rPr>
            </w:pPr>
            <w:r>
              <w:rPr>
                <w:rFonts w:hint="eastAsia"/>
                <w:sz w:val="24"/>
              </w:rPr>
              <w:t>本项目地块呈长方形，占地面积7185m</w:t>
            </w:r>
            <w:r>
              <w:rPr>
                <w:rFonts w:hint="eastAsia"/>
                <w:sz w:val="24"/>
                <w:vertAlign w:val="superscript"/>
              </w:rPr>
              <w:t>2</w:t>
            </w:r>
            <w:r>
              <w:rPr>
                <w:rFonts w:hint="eastAsia"/>
                <w:sz w:val="24"/>
              </w:rPr>
              <w:t>，北侧为恒泰路，东侧紧邻龙蟠科技公司仓储物流中心，土地性质为工业用地。</w:t>
            </w:r>
          </w:p>
          <w:p>
            <w:pPr>
              <w:autoSpaceDE w:val="0"/>
              <w:autoSpaceDN w:val="0"/>
              <w:adjustRightInd w:val="0"/>
              <w:spacing w:line="360" w:lineRule="auto"/>
              <w:ind w:firstLine="451" w:firstLineChars="188"/>
              <w:jc w:val="left"/>
              <w:rPr>
                <w:rFonts w:hint="eastAsia"/>
                <w:sz w:val="24"/>
              </w:rPr>
            </w:pPr>
            <w:r>
              <w:rPr>
                <w:rFonts w:hint="eastAsia"/>
                <w:sz w:val="24"/>
              </w:rPr>
              <w:t>项目周边概况图见附图2，厂区平面总布置见附图3</w:t>
            </w:r>
            <w:r>
              <w:rPr>
                <w:sz w:val="24"/>
              </w:rPr>
              <w:t>。</w:t>
            </w:r>
          </w:p>
          <w:p>
            <w:pPr>
              <w:spacing w:line="360" w:lineRule="auto"/>
              <w:ind w:left="482"/>
              <w:rPr>
                <w:rFonts w:hint="eastAsia"/>
                <w:b/>
                <w:sz w:val="24"/>
              </w:rPr>
            </w:pPr>
            <w:r>
              <w:rPr>
                <w:rFonts w:hint="eastAsia"/>
                <w:b/>
                <w:sz w:val="24"/>
              </w:rPr>
              <w:t>（四）、公用及辅助工程</w:t>
            </w:r>
          </w:p>
          <w:p>
            <w:pPr>
              <w:spacing w:line="360" w:lineRule="auto"/>
              <w:ind w:firstLine="480" w:firstLineChars="200"/>
              <w:rPr>
                <w:rFonts w:hint="eastAsia"/>
                <w:bCs/>
                <w:sz w:val="24"/>
              </w:rPr>
            </w:pPr>
            <w:r>
              <w:rPr>
                <w:rFonts w:hint="eastAsia"/>
                <w:bCs/>
                <w:sz w:val="24"/>
              </w:rPr>
              <w:t>1、给排水</w:t>
            </w:r>
          </w:p>
          <w:p>
            <w:pPr>
              <w:spacing w:line="360" w:lineRule="auto"/>
              <w:ind w:firstLine="480" w:firstLineChars="200"/>
              <w:rPr>
                <w:rFonts w:hint="eastAsia"/>
                <w:sz w:val="24"/>
              </w:rPr>
            </w:pPr>
            <w:r>
              <w:rPr>
                <w:rFonts w:hint="eastAsia"/>
                <w:sz w:val="24"/>
              </w:rPr>
              <w:t>本项目用水来源为南京市供水管网，可满足本项目用水要求。开发区内已铺设污水和雨水排水系统，可满足本项目排水要求。</w:t>
            </w:r>
          </w:p>
          <w:p>
            <w:pPr>
              <w:spacing w:line="360" w:lineRule="auto"/>
              <w:rPr>
                <w:rFonts w:hint="eastAsia"/>
                <w:sz w:val="24"/>
              </w:rPr>
            </w:pPr>
            <w:r>
              <w:rPr>
                <w:rFonts w:hint="eastAsia"/>
                <w:sz w:val="24"/>
              </w:rPr>
              <w:t xml:space="preserve">    2、供电</w:t>
            </w:r>
          </w:p>
          <w:p>
            <w:pPr>
              <w:spacing w:line="360" w:lineRule="auto"/>
              <w:ind w:firstLine="480" w:firstLineChars="200"/>
              <w:rPr>
                <w:rFonts w:hint="eastAsia"/>
                <w:sz w:val="24"/>
              </w:rPr>
            </w:pPr>
            <w:r>
              <w:rPr>
                <w:rFonts w:hint="eastAsia"/>
                <w:sz w:val="24"/>
              </w:rPr>
              <w:t>项目用电将根据供配电就近的原则，在厂房内供电点比较集中位置设置低压配电房，减少线损，同时在每个变压器的出线端增加无功补偿，保证功率因素。供电由国家电网提供。</w:t>
            </w:r>
          </w:p>
          <w:p>
            <w:pPr>
              <w:spacing w:before="142" w:beforeLines="50" w:line="360" w:lineRule="auto"/>
              <w:ind w:firstLine="472" w:firstLineChars="196"/>
              <w:jc w:val="left"/>
              <w:rPr>
                <w:rFonts w:hint="eastAsia"/>
                <w:b/>
                <w:bCs/>
                <w:sz w:val="24"/>
              </w:rPr>
            </w:pPr>
            <w:r>
              <w:rPr>
                <w:rFonts w:hint="eastAsia"/>
                <w:b/>
                <w:bCs/>
                <w:sz w:val="24"/>
              </w:rPr>
              <w:t>（五）、与本项目有关的原有污染情况及主要环境问题：</w:t>
            </w:r>
          </w:p>
          <w:p>
            <w:pPr>
              <w:spacing w:line="360" w:lineRule="auto"/>
              <w:ind w:firstLine="480" w:firstLineChars="200"/>
              <w:rPr>
                <w:rFonts w:hint="eastAsia"/>
                <w:sz w:val="24"/>
                <w:szCs w:val="24"/>
              </w:rPr>
            </w:pPr>
            <w:r>
              <w:rPr>
                <w:rFonts w:hint="eastAsia"/>
                <w:sz w:val="24"/>
              </w:rPr>
              <w:t>项目用地为净地，项目不涉及拆迁与移民安置问题，生态系统简单，本项目建成后将形成绿化面积约1796m</w:t>
            </w:r>
            <w:r>
              <w:rPr>
                <w:rFonts w:hint="eastAsia"/>
                <w:sz w:val="24"/>
                <w:vertAlign w:val="superscript"/>
              </w:rPr>
              <w:t>2</w:t>
            </w:r>
            <w:r>
              <w:rPr>
                <w:rFonts w:hint="eastAsia"/>
                <w:sz w:val="24"/>
              </w:rPr>
              <w:t>，对改善周边生态环境起到一定的积极作用，项目建设过程中经采取相关水土保持等有效措施后，项目的建设对周围生态系统影响较小。</w:t>
            </w:r>
          </w:p>
          <w:p>
            <w:pPr>
              <w:spacing w:line="440" w:lineRule="exact"/>
              <w:rPr>
                <w:rFonts w:hint="eastAsia"/>
                <w:sz w:val="24"/>
                <w:szCs w:val="24"/>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12340" w:hRule="atLeast"/>
        </w:trPr>
        <w:tc>
          <w:tcPr>
            <w:tcW w:w="9322" w:type="dxa"/>
            <w:gridSpan w:val="2"/>
            <w:vAlign w:val="top"/>
          </w:tcPr>
          <w:p>
            <w:pPr>
              <w:spacing w:line="400" w:lineRule="exact"/>
              <w:rPr>
                <w:rFonts w:hint="eastAsia"/>
                <w:b/>
                <w:szCs w:val="28"/>
              </w:rPr>
            </w:pPr>
            <w:r>
              <w:rPr>
                <w:b/>
                <w:szCs w:val="28"/>
              </w:rPr>
              <w:t>二、建设项目所在地自然环境社会</w:t>
            </w:r>
          </w:p>
          <w:p>
            <w:pPr>
              <w:spacing w:line="400" w:lineRule="exact"/>
              <w:rPr>
                <w:b/>
                <w:bCs/>
                <w:szCs w:val="28"/>
              </w:rPr>
            </w:pPr>
            <w:r>
              <w:rPr>
                <w:b/>
                <w:szCs w:val="28"/>
              </w:rPr>
              <w:t>环境简况</w:t>
            </w:r>
            <w:r>
              <w:rPr>
                <w:b/>
                <w:bCs/>
                <w:szCs w:val="28"/>
              </w:rPr>
              <w:t>自然环境简况（地形、地貌、地质、气候、气象、水文、植被、生物多样性等）：</w:t>
            </w:r>
          </w:p>
          <w:p>
            <w:pPr>
              <w:spacing w:line="440" w:lineRule="exact"/>
              <w:ind w:firstLine="482" w:firstLineChars="200"/>
              <w:rPr>
                <w:rFonts w:hint="eastAsia"/>
                <w:b/>
                <w:sz w:val="24"/>
              </w:rPr>
            </w:pPr>
            <w:r>
              <w:rPr>
                <w:rFonts w:hint="eastAsia"/>
                <w:b/>
                <w:sz w:val="24"/>
              </w:rPr>
              <w:t>一、地形、地貌、地质</w:t>
            </w:r>
          </w:p>
          <w:p>
            <w:pPr>
              <w:snapToGrid w:val="0"/>
              <w:spacing w:line="360" w:lineRule="auto"/>
              <w:ind w:firstLine="480" w:firstLineChars="200"/>
              <w:rPr>
                <w:rFonts w:hint="eastAsia" w:cs="宋体"/>
                <w:sz w:val="24"/>
              </w:rPr>
            </w:pPr>
            <w:r>
              <w:rPr>
                <w:rFonts w:hint="eastAsia" w:cs="宋体"/>
                <w:sz w:val="24"/>
              </w:rPr>
              <w:t>南京，简称宁，是江苏省省会，全省政治、经济、科教和文化中心，长三角经济核心区的重要城市，国家重要的综合性交通枢纽和通信枢纽城市。2013年2月，经国务院批准和省政府批复同意，南京市行政区划调整，撤销秦淮区、白下区，以原两区所辖区域设立新的秦淮区；撤销鼓楼区、下关区，以原两区所辖区域设立新的鼓楼区；撤销溧水县，设立南京市溧水区；撤销高淳县，设立南京市高淳区。溧水、高淳均以原县的行政区域为新建区的行政区域。南京市由原来的11个区、2县调整为11个区。</w:t>
            </w:r>
          </w:p>
          <w:p>
            <w:pPr>
              <w:pStyle w:val="42"/>
              <w:snapToGrid w:val="0"/>
              <w:spacing w:line="360" w:lineRule="auto"/>
            </w:pPr>
            <w:r>
              <w:rPr>
                <w:rFonts w:hint="eastAsia"/>
              </w:rPr>
              <w:t>南京经济技术开发区位于南京城东北部，长江南岸，东经 118°51′，北纬32°10′。从地质上来说，该区域位于新华夏系第二巨型隆起带与秦岭东西向复杂构造带东延的复和部位，属元古代形成的华南地台。地表为新生代第四纪的松散沉积层堆积。该处地震烈度为 6 级</w:t>
            </w:r>
            <w:r>
              <w:t>。</w:t>
            </w:r>
          </w:p>
          <w:p>
            <w:pPr>
              <w:pStyle w:val="42"/>
              <w:snapToGrid w:val="0"/>
              <w:spacing w:line="360" w:lineRule="auto"/>
              <w:rPr>
                <w:rFonts w:hint="eastAsia" w:hAnsi="宋体"/>
                <w:color w:val="0000FF"/>
              </w:rPr>
            </w:pPr>
            <w:r>
              <w:t>本项目位于</w:t>
            </w:r>
            <w:r>
              <w:rPr>
                <w:rFonts w:hint="eastAsia"/>
              </w:rPr>
              <w:t>南京经济技术开发区恒泰路与兴吴路交叉口</w:t>
            </w:r>
            <w:r>
              <w:rPr>
                <w:rFonts w:hint="eastAsia" w:hAnsi="宋体"/>
                <w:color w:val="0000FF"/>
              </w:rPr>
              <w:t>。</w:t>
            </w:r>
          </w:p>
          <w:p>
            <w:pPr>
              <w:spacing w:line="440" w:lineRule="exact"/>
              <w:ind w:firstLine="482" w:firstLineChars="200"/>
              <w:rPr>
                <w:rFonts w:hint="eastAsia"/>
                <w:b/>
                <w:sz w:val="24"/>
                <w:lang w:val="zh-CN" w:eastAsia="zh-CN"/>
              </w:rPr>
            </w:pPr>
            <w:r>
              <w:rPr>
                <w:rFonts w:hint="eastAsia"/>
                <w:b/>
                <w:sz w:val="24"/>
                <w:lang w:val="zh-CN" w:eastAsia="zh-CN"/>
              </w:rPr>
              <w:t>二、气候气象</w:t>
            </w:r>
          </w:p>
          <w:p>
            <w:pPr>
              <w:spacing w:line="360" w:lineRule="auto"/>
              <w:ind w:firstLine="480" w:firstLineChars="200"/>
              <w:rPr>
                <w:color w:val="000000"/>
                <w:sz w:val="24"/>
              </w:rPr>
            </w:pPr>
            <w:r>
              <w:rPr>
                <w:rFonts w:hAnsi="宋体"/>
                <w:color w:val="000000"/>
                <w:sz w:val="24"/>
              </w:rPr>
              <w:t>项目所在地属于长江流域</w:t>
            </w:r>
            <w:r>
              <w:rPr>
                <w:rFonts w:hint="eastAsia" w:hAnsi="宋体"/>
                <w:color w:val="000000"/>
                <w:sz w:val="24"/>
              </w:rPr>
              <w:t>，</w:t>
            </w:r>
            <w:r>
              <w:rPr>
                <w:rFonts w:hAnsi="宋体"/>
                <w:color w:val="000000"/>
                <w:sz w:val="24"/>
              </w:rPr>
              <w:t>地处北回归线以北</w:t>
            </w:r>
            <w:r>
              <w:rPr>
                <w:rFonts w:hint="eastAsia" w:hAnsi="宋体"/>
                <w:color w:val="000000"/>
                <w:sz w:val="24"/>
              </w:rPr>
              <w:t>，</w:t>
            </w:r>
            <w:r>
              <w:rPr>
                <w:rFonts w:hAnsi="宋体"/>
                <w:color w:val="000000"/>
                <w:sz w:val="24"/>
              </w:rPr>
              <w:t>属北亚热带南部季风气候区。气候温和湿润，四季分明，光照充足，雨量充沛，无霜期长，雨热同期。</w:t>
            </w:r>
          </w:p>
          <w:p>
            <w:pPr>
              <w:spacing w:line="360" w:lineRule="auto"/>
              <w:ind w:firstLine="480" w:firstLineChars="200"/>
              <w:rPr>
                <w:color w:val="000000"/>
                <w:sz w:val="24"/>
              </w:rPr>
            </w:pPr>
            <w:r>
              <w:rPr>
                <w:rFonts w:hAnsi="宋体"/>
                <w:color w:val="000000"/>
                <w:sz w:val="24"/>
              </w:rPr>
              <w:t>年平均气温</w:t>
            </w:r>
            <w:r>
              <w:rPr>
                <w:color w:val="000000"/>
                <w:sz w:val="24"/>
              </w:rPr>
              <w:t>15.3</w:t>
            </w:r>
            <w:r>
              <w:rPr>
                <w:rFonts w:hAnsi="宋体"/>
                <w:color w:val="000000"/>
                <w:sz w:val="24"/>
              </w:rPr>
              <w:t>℃，</w:t>
            </w:r>
            <w:r>
              <w:rPr>
                <w:color w:val="000000"/>
                <w:sz w:val="24"/>
              </w:rPr>
              <w:t>1</w:t>
            </w:r>
            <w:r>
              <w:rPr>
                <w:rFonts w:hAnsi="宋体"/>
                <w:color w:val="000000"/>
                <w:sz w:val="24"/>
              </w:rPr>
              <w:t>月平均气温</w:t>
            </w:r>
            <w:r>
              <w:rPr>
                <w:color w:val="000000"/>
                <w:sz w:val="24"/>
              </w:rPr>
              <w:t>2.8</w:t>
            </w:r>
            <w:r>
              <w:rPr>
                <w:rFonts w:hAnsi="宋体"/>
                <w:color w:val="000000"/>
                <w:sz w:val="24"/>
              </w:rPr>
              <w:t>℃，</w:t>
            </w:r>
            <w:r>
              <w:rPr>
                <w:color w:val="000000"/>
                <w:sz w:val="24"/>
              </w:rPr>
              <w:t>7</w:t>
            </w:r>
            <w:r>
              <w:rPr>
                <w:rFonts w:hAnsi="宋体"/>
                <w:color w:val="000000"/>
                <w:sz w:val="24"/>
              </w:rPr>
              <w:t>月平均气温</w:t>
            </w:r>
            <w:r>
              <w:rPr>
                <w:color w:val="000000"/>
                <w:sz w:val="24"/>
              </w:rPr>
              <w:t>27.7</w:t>
            </w:r>
            <w:r>
              <w:rPr>
                <w:rFonts w:hAnsi="宋体"/>
                <w:color w:val="000000"/>
                <w:sz w:val="24"/>
              </w:rPr>
              <w:t>℃。极端最高气温</w:t>
            </w:r>
            <w:r>
              <w:rPr>
                <w:color w:val="000000"/>
                <w:sz w:val="24"/>
              </w:rPr>
              <w:t>37.9</w:t>
            </w:r>
            <w:r>
              <w:rPr>
                <w:rFonts w:hAnsi="宋体"/>
                <w:color w:val="000000"/>
                <w:sz w:val="24"/>
              </w:rPr>
              <w:t>℃</w:t>
            </w:r>
            <w:r>
              <w:rPr>
                <w:color w:val="000000"/>
                <w:sz w:val="24"/>
              </w:rPr>
              <w:t>(1978</w:t>
            </w:r>
            <w:r>
              <w:rPr>
                <w:rFonts w:hAnsi="宋体"/>
                <w:color w:val="000000"/>
                <w:sz w:val="24"/>
              </w:rPr>
              <w:t>年</w:t>
            </w:r>
            <w:r>
              <w:rPr>
                <w:color w:val="000000"/>
                <w:sz w:val="24"/>
              </w:rPr>
              <w:t>7</w:t>
            </w:r>
            <w:r>
              <w:rPr>
                <w:rFonts w:hAnsi="宋体"/>
                <w:color w:val="000000"/>
                <w:sz w:val="24"/>
              </w:rPr>
              <w:t>月</w:t>
            </w:r>
            <w:r>
              <w:rPr>
                <w:color w:val="000000"/>
                <w:sz w:val="24"/>
              </w:rPr>
              <w:t>8</w:t>
            </w:r>
            <w:r>
              <w:rPr>
                <w:rFonts w:hAnsi="宋体"/>
                <w:color w:val="000000"/>
                <w:sz w:val="24"/>
              </w:rPr>
              <w:t>日</w:t>
            </w:r>
            <w:r>
              <w:rPr>
                <w:color w:val="000000"/>
                <w:sz w:val="24"/>
              </w:rPr>
              <w:t>)</w:t>
            </w:r>
            <w:r>
              <w:rPr>
                <w:rFonts w:hAnsi="宋体"/>
                <w:color w:val="000000"/>
                <w:sz w:val="24"/>
              </w:rPr>
              <w:t>，年极端最低气温零下</w:t>
            </w:r>
            <w:r>
              <w:rPr>
                <w:color w:val="000000"/>
                <w:sz w:val="24"/>
              </w:rPr>
              <w:t>11.7</w:t>
            </w:r>
            <w:r>
              <w:rPr>
                <w:rFonts w:hAnsi="宋体"/>
                <w:color w:val="000000"/>
                <w:sz w:val="24"/>
              </w:rPr>
              <w:t>℃</w:t>
            </w:r>
            <w:r>
              <w:rPr>
                <w:color w:val="000000"/>
                <w:sz w:val="24"/>
              </w:rPr>
              <w:t>(1977</w:t>
            </w:r>
            <w:r>
              <w:rPr>
                <w:rFonts w:hAnsi="宋体"/>
                <w:color w:val="000000"/>
                <w:sz w:val="24"/>
              </w:rPr>
              <w:t>年</w:t>
            </w:r>
            <w:r>
              <w:rPr>
                <w:color w:val="000000"/>
                <w:sz w:val="24"/>
              </w:rPr>
              <w:t>1</w:t>
            </w:r>
            <w:r>
              <w:rPr>
                <w:rFonts w:hAnsi="宋体"/>
                <w:color w:val="000000"/>
                <w:sz w:val="24"/>
              </w:rPr>
              <w:t>月</w:t>
            </w:r>
            <w:r>
              <w:rPr>
                <w:color w:val="000000"/>
                <w:sz w:val="24"/>
              </w:rPr>
              <w:t>31</w:t>
            </w:r>
            <w:r>
              <w:rPr>
                <w:rFonts w:hAnsi="宋体"/>
                <w:color w:val="000000"/>
                <w:sz w:val="24"/>
              </w:rPr>
              <w:t>日</w:t>
            </w:r>
            <w:r>
              <w:rPr>
                <w:color w:val="000000"/>
                <w:sz w:val="24"/>
              </w:rPr>
              <w:t>)</w:t>
            </w:r>
            <w:r>
              <w:rPr>
                <w:rFonts w:hAnsi="宋体"/>
                <w:color w:val="000000"/>
                <w:sz w:val="24"/>
              </w:rPr>
              <w:t>。</w:t>
            </w:r>
          </w:p>
          <w:p>
            <w:pPr>
              <w:spacing w:line="360" w:lineRule="auto"/>
              <w:ind w:firstLine="480" w:firstLineChars="200"/>
              <w:rPr>
                <w:color w:val="000000"/>
                <w:sz w:val="24"/>
              </w:rPr>
            </w:pPr>
            <w:r>
              <w:rPr>
                <w:rFonts w:hAnsi="宋体"/>
                <w:color w:val="000000"/>
                <w:sz w:val="24"/>
              </w:rPr>
              <w:t>降水主要集中在夏季，次在春季，地区间差异较小。年平均雨量</w:t>
            </w:r>
            <w:r>
              <w:rPr>
                <w:color w:val="000000"/>
                <w:sz w:val="24"/>
              </w:rPr>
              <w:t>1063.7</w:t>
            </w:r>
            <w:r>
              <w:rPr>
                <w:rFonts w:hAnsi="宋体"/>
                <w:color w:val="000000"/>
                <w:sz w:val="24"/>
              </w:rPr>
              <w:t>毫米，最多年份</w:t>
            </w:r>
            <w:r>
              <w:rPr>
                <w:color w:val="000000"/>
                <w:sz w:val="24"/>
              </w:rPr>
              <w:t>1576</w:t>
            </w:r>
            <w:r>
              <w:rPr>
                <w:rFonts w:hAnsi="宋体"/>
                <w:color w:val="000000"/>
                <w:sz w:val="24"/>
              </w:rPr>
              <w:t>毫米</w:t>
            </w:r>
            <w:r>
              <w:rPr>
                <w:color w:val="000000"/>
                <w:sz w:val="24"/>
              </w:rPr>
              <w:t>(1960</w:t>
            </w:r>
            <w:r>
              <w:rPr>
                <w:rFonts w:hAnsi="宋体"/>
                <w:color w:val="000000"/>
                <w:sz w:val="24"/>
              </w:rPr>
              <w:t>年</w:t>
            </w:r>
            <w:r>
              <w:rPr>
                <w:color w:val="000000"/>
                <w:sz w:val="24"/>
              </w:rPr>
              <w:t>)</w:t>
            </w:r>
            <w:r>
              <w:rPr>
                <w:rFonts w:hAnsi="宋体"/>
                <w:color w:val="000000"/>
                <w:sz w:val="24"/>
              </w:rPr>
              <w:t>，最少年份</w:t>
            </w:r>
            <w:r>
              <w:rPr>
                <w:color w:val="000000"/>
                <w:sz w:val="24"/>
              </w:rPr>
              <w:t>672.9</w:t>
            </w:r>
            <w:r>
              <w:rPr>
                <w:rFonts w:hAnsi="宋体"/>
                <w:color w:val="000000"/>
                <w:sz w:val="24"/>
              </w:rPr>
              <w:t>毫米</w:t>
            </w:r>
            <w:r>
              <w:rPr>
                <w:color w:val="000000"/>
                <w:sz w:val="24"/>
              </w:rPr>
              <w:t>(1978</w:t>
            </w:r>
            <w:r>
              <w:rPr>
                <w:rFonts w:hAnsi="宋体"/>
                <w:color w:val="000000"/>
                <w:sz w:val="24"/>
              </w:rPr>
              <w:t>年</w:t>
            </w:r>
            <w:r>
              <w:rPr>
                <w:color w:val="000000"/>
                <w:sz w:val="24"/>
              </w:rPr>
              <w:t>)</w:t>
            </w:r>
            <w:r>
              <w:rPr>
                <w:rFonts w:hAnsi="宋体"/>
                <w:color w:val="000000"/>
                <w:sz w:val="24"/>
              </w:rPr>
              <w:t>，超过</w:t>
            </w:r>
            <w:r>
              <w:rPr>
                <w:color w:val="000000"/>
                <w:sz w:val="24"/>
              </w:rPr>
              <w:t>1000</w:t>
            </w:r>
            <w:r>
              <w:rPr>
                <w:rFonts w:hAnsi="宋体"/>
                <w:color w:val="000000"/>
                <w:sz w:val="24"/>
              </w:rPr>
              <w:t>毫米的年份有</w:t>
            </w:r>
            <w:r>
              <w:rPr>
                <w:color w:val="000000"/>
                <w:sz w:val="24"/>
              </w:rPr>
              <w:t>14</w:t>
            </w:r>
            <w:r>
              <w:rPr>
                <w:rFonts w:hAnsi="宋体"/>
                <w:color w:val="000000"/>
                <w:sz w:val="24"/>
              </w:rPr>
              <w:t>年，占总年数的</w:t>
            </w:r>
            <w:r>
              <w:rPr>
                <w:color w:val="000000"/>
                <w:sz w:val="24"/>
              </w:rPr>
              <w:t>48%</w:t>
            </w:r>
            <w:r>
              <w:rPr>
                <w:rFonts w:hAnsi="宋体"/>
                <w:color w:val="000000"/>
                <w:sz w:val="24"/>
              </w:rPr>
              <w:t>。年平均雨日</w:t>
            </w:r>
            <w:r>
              <w:rPr>
                <w:color w:val="000000"/>
                <w:sz w:val="24"/>
              </w:rPr>
              <w:t>127.3</w:t>
            </w:r>
            <w:r>
              <w:rPr>
                <w:rFonts w:hAnsi="宋体"/>
                <w:color w:val="000000"/>
                <w:sz w:val="24"/>
              </w:rPr>
              <w:t>天，最多达</w:t>
            </w:r>
            <w:r>
              <w:rPr>
                <w:color w:val="000000"/>
                <w:sz w:val="24"/>
              </w:rPr>
              <w:t>150</w:t>
            </w:r>
            <w:r>
              <w:rPr>
                <w:rFonts w:hAnsi="宋体"/>
                <w:color w:val="000000"/>
                <w:sz w:val="24"/>
              </w:rPr>
              <w:t>天</w:t>
            </w:r>
            <w:r>
              <w:rPr>
                <w:color w:val="000000"/>
                <w:sz w:val="24"/>
              </w:rPr>
              <w:t>(1977</w:t>
            </w:r>
            <w:r>
              <w:rPr>
                <w:rFonts w:hAnsi="宋体"/>
                <w:color w:val="000000"/>
                <w:sz w:val="24"/>
              </w:rPr>
              <w:t>年</w:t>
            </w:r>
            <w:r>
              <w:rPr>
                <w:color w:val="000000"/>
                <w:sz w:val="24"/>
              </w:rPr>
              <w:t>)</w:t>
            </w:r>
            <w:r>
              <w:rPr>
                <w:rFonts w:hAnsi="宋体"/>
                <w:color w:val="000000"/>
                <w:sz w:val="24"/>
              </w:rPr>
              <w:t>，最少</w:t>
            </w:r>
            <w:r>
              <w:rPr>
                <w:color w:val="000000"/>
                <w:sz w:val="24"/>
              </w:rPr>
              <w:t>96</w:t>
            </w:r>
            <w:r>
              <w:rPr>
                <w:rFonts w:hAnsi="宋体"/>
                <w:color w:val="000000"/>
                <w:sz w:val="24"/>
              </w:rPr>
              <w:t>天</w:t>
            </w:r>
            <w:r>
              <w:rPr>
                <w:color w:val="000000"/>
                <w:sz w:val="24"/>
              </w:rPr>
              <w:t>(1991</w:t>
            </w:r>
            <w:r>
              <w:rPr>
                <w:rFonts w:hAnsi="宋体"/>
                <w:color w:val="000000"/>
                <w:sz w:val="24"/>
              </w:rPr>
              <w:t>年</w:t>
            </w:r>
            <w:r>
              <w:rPr>
                <w:color w:val="000000"/>
                <w:sz w:val="24"/>
              </w:rPr>
              <w:t>)</w:t>
            </w:r>
            <w:r>
              <w:rPr>
                <w:rFonts w:hAnsi="宋体"/>
                <w:color w:val="000000"/>
                <w:sz w:val="24"/>
              </w:rPr>
              <w:t>。历年平均年蒸发量</w:t>
            </w:r>
            <w:r>
              <w:rPr>
                <w:color w:val="000000"/>
                <w:sz w:val="24"/>
              </w:rPr>
              <w:t>1338.5</w:t>
            </w:r>
            <w:r>
              <w:rPr>
                <w:rFonts w:hAnsi="宋体"/>
                <w:color w:val="000000"/>
                <w:sz w:val="24"/>
              </w:rPr>
              <w:t>毫米，大于年雨量的</w:t>
            </w:r>
            <w:r>
              <w:rPr>
                <w:color w:val="000000"/>
                <w:sz w:val="24"/>
              </w:rPr>
              <w:t>25.8%</w:t>
            </w:r>
            <w:r>
              <w:rPr>
                <w:rFonts w:hAnsi="宋体"/>
                <w:color w:val="000000"/>
                <w:sz w:val="24"/>
              </w:rPr>
              <w:t>。</w:t>
            </w:r>
          </w:p>
          <w:p>
            <w:pPr>
              <w:spacing w:line="360" w:lineRule="auto"/>
              <w:ind w:firstLine="480" w:firstLineChars="200"/>
              <w:rPr>
                <w:color w:val="000000"/>
                <w:sz w:val="24"/>
              </w:rPr>
            </w:pPr>
            <w:r>
              <w:rPr>
                <w:rFonts w:hAnsi="宋体"/>
                <w:color w:val="000000"/>
                <w:sz w:val="24"/>
              </w:rPr>
              <w:t>年平均日照时数</w:t>
            </w:r>
            <w:r>
              <w:rPr>
                <w:color w:val="000000"/>
                <w:sz w:val="24"/>
              </w:rPr>
              <w:t>2165.2</w:t>
            </w:r>
            <w:r>
              <w:rPr>
                <w:rFonts w:hAnsi="宋体"/>
                <w:color w:val="000000"/>
                <w:sz w:val="24"/>
              </w:rPr>
              <w:t>小时，为可照时数的</w:t>
            </w:r>
            <w:r>
              <w:rPr>
                <w:color w:val="000000"/>
                <w:sz w:val="24"/>
              </w:rPr>
              <w:t>49%</w:t>
            </w:r>
            <w:r>
              <w:rPr>
                <w:rFonts w:hAnsi="宋体"/>
                <w:color w:val="000000"/>
                <w:sz w:val="24"/>
              </w:rPr>
              <w:t>，最多年份</w:t>
            </w:r>
            <w:r>
              <w:rPr>
                <w:color w:val="000000"/>
                <w:sz w:val="24"/>
              </w:rPr>
              <w:t>2460.7</w:t>
            </w:r>
            <w:r>
              <w:rPr>
                <w:rFonts w:hAnsi="宋体"/>
                <w:color w:val="000000"/>
                <w:sz w:val="24"/>
              </w:rPr>
              <w:t>小时</w:t>
            </w:r>
            <w:r>
              <w:rPr>
                <w:color w:val="000000"/>
                <w:sz w:val="24"/>
              </w:rPr>
              <w:t>(1978</w:t>
            </w:r>
            <w:r>
              <w:rPr>
                <w:rFonts w:hAnsi="宋体"/>
                <w:color w:val="000000"/>
                <w:sz w:val="24"/>
              </w:rPr>
              <w:t>年</w:t>
            </w:r>
            <w:r>
              <w:rPr>
                <w:color w:val="000000"/>
                <w:sz w:val="24"/>
              </w:rPr>
              <w:t>)</w:t>
            </w:r>
            <w:r>
              <w:rPr>
                <w:rFonts w:hAnsi="宋体"/>
                <w:color w:val="000000"/>
                <w:sz w:val="24"/>
              </w:rPr>
              <w:t>，占可照时数的</w:t>
            </w:r>
            <w:r>
              <w:rPr>
                <w:color w:val="000000"/>
                <w:sz w:val="24"/>
              </w:rPr>
              <w:t>56%</w:t>
            </w:r>
            <w:r>
              <w:rPr>
                <w:rFonts w:hAnsi="宋体"/>
                <w:color w:val="000000"/>
                <w:sz w:val="24"/>
              </w:rPr>
              <w:t>。</w:t>
            </w:r>
          </w:p>
          <w:p>
            <w:pPr>
              <w:spacing w:line="360" w:lineRule="auto"/>
              <w:ind w:firstLine="480" w:firstLineChars="200"/>
              <w:rPr>
                <w:color w:val="000000"/>
                <w:sz w:val="24"/>
              </w:rPr>
            </w:pPr>
            <w:r>
              <w:rPr>
                <w:rFonts w:hAnsi="宋体"/>
                <w:color w:val="000000"/>
                <w:sz w:val="24"/>
              </w:rPr>
              <w:t>年平均风速</w:t>
            </w:r>
            <w:r>
              <w:rPr>
                <w:color w:val="000000"/>
                <w:sz w:val="24"/>
              </w:rPr>
              <w:t>3.6</w:t>
            </w:r>
            <w:r>
              <w:rPr>
                <w:rFonts w:hAnsi="宋体"/>
                <w:color w:val="000000"/>
                <w:sz w:val="24"/>
              </w:rPr>
              <w:t>米</w:t>
            </w:r>
            <w:r>
              <w:rPr>
                <w:color w:val="000000"/>
                <w:sz w:val="24"/>
              </w:rPr>
              <w:t>/</w:t>
            </w:r>
            <w:r>
              <w:rPr>
                <w:rFonts w:hAnsi="宋体"/>
                <w:color w:val="000000"/>
                <w:sz w:val="24"/>
              </w:rPr>
              <w:t>秒，</w:t>
            </w:r>
            <w:r>
              <w:rPr>
                <w:color w:val="000000"/>
                <w:sz w:val="24"/>
              </w:rPr>
              <w:t>3</w:t>
            </w:r>
            <w:r>
              <w:rPr>
                <w:rFonts w:hAnsi="宋体"/>
                <w:color w:val="000000"/>
                <w:sz w:val="24"/>
              </w:rPr>
              <w:t>、</w:t>
            </w:r>
            <w:r>
              <w:rPr>
                <w:color w:val="000000"/>
                <w:sz w:val="24"/>
              </w:rPr>
              <w:t>4</w:t>
            </w:r>
            <w:r>
              <w:rPr>
                <w:rFonts w:hAnsi="宋体"/>
                <w:color w:val="000000"/>
                <w:sz w:val="24"/>
              </w:rPr>
              <w:t>月较大，</w:t>
            </w:r>
            <w:r>
              <w:rPr>
                <w:color w:val="000000"/>
                <w:sz w:val="24"/>
              </w:rPr>
              <w:t>9</w:t>
            </w:r>
            <w:r>
              <w:rPr>
                <w:rFonts w:hAnsi="宋体"/>
                <w:color w:val="000000"/>
                <w:sz w:val="24"/>
              </w:rPr>
              <w:t>、</w:t>
            </w:r>
            <w:r>
              <w:rPr>
                <w:color w:val="000000"/>
                <w:sz w:val="24"/>
              </w:rPr>
              <w:t>10</w:t>
            </w:r>
            <w:r>
              <w:rPr>
                <w:rFonts w:hAnsi="宋体"/>
                <w:color w:val="000000"/>
                <w:sz w:val="24"/>
              </w:rPr>
              <w:t>月较小。最大风速</w:t>
            </w:r>
            <w:r>
              <w:rPr>
                <w:color w:val="000000"/>
                <w:sz w:val="24"/>
              </w:rPr>
              <w:t>19</w:t>
            </w:r>
            <w:r>
              <w:rPr>
                <w:rFonts w:hAnsi="宋体"/>
                <w:color w:val="000000"/>
                <w:sz w:val="24"/>
              </w:rPr>
              <w:t>米</w:t>
            </w:r>
            <w:r>
              <w:rPr>
                <w:color w:val="000000"/>
                <w:sz w:val="24"/>
              </w:rPr>
              <w:t>/</w:t>
            </w:r>
            <w:r>
              <w:rPr>
                <w:rFonts w:hAnsi="宋体"/>
                <w:color w:val="000000"/>
                <w:sz w:val="24"/>
              </w:rPr>
              <w:t>秒</w:t>
            </w:r>
            <w:r>
              <w:rPr>
                <w:color w:val="000000"/>
                <w:sz w:val="24"/>
              </w:rPr>
              <w:t>(1972</w:t>
            </w:r>
            <w:r>
              <w:rPr>
                <w:rFonts w:hAnsi="宋体"/>
                <w:color w:val="000000"/>
                <w:sz w:val="24"/>
              </w:rPr>
              <w:t>年</w:t>
            </w:r>
            <w:r>
              <w:rPr>
                <w:color w:val="000000"/>
                <w:sz w:val="24"/>
              </w:rPr>
              <w:t>)</w:t>
            </w:r>
            <w:r>
              <w:rPr>
                <w:rFonts w:hAnsi="宋体"/>
                <w:color w:val="000000"/>
                <w:sz w:val="24"/>
              </w:rPr>
              <w:t>。</w:t>
            </w:r>
          </w:p>
          <w:p>
            <w:pPr>
              <w:spacing w:line="440" w:lineRule="exact"/>
              <w:ind w:firstLine="480" w:firstLineChars="200"/>
              <w:rPr>
                <w:rFonts w:hAnsi="宋体"/>
                <w:color w:val="000000"/>
                <w:sz w:val="24"/>
              </w:rPr>
            </w:pPr>
            <w:r>
              <w:rPr>
                <w:rFonts w:hAnsi="宋体"/>
                <w:color w:val="000000"/>
                <w:sz w:val="24"/>
              </w:rPr>
              <w:t>年平均初霜日为</w:t>
            </w:r>
            <w:r>
              <w:rPr>
                <w:color w:val="000000"/>
                <w:sz w:val="24"/>
              </w:rPr>
              <w:t>11</w:t>
            </w:r>
            <w:r>
              <w:rPr>
                <w:rFonts w:hAnsi="宋体"/>
                <w:color w:val="000000"/>
                <w:sz w:val="24"/>
              </w:rPr>
              <w:t>月</w:t>
            </w:r>
            <w:r>
              <w:rPr>
                <w:color w:val="000000"/>
                <w:sz w:val="24"/>
              </w:rPr>
              <w:t>15</w:t>
            </w:r>
            <w:r>
              <w:rPr>
                <w:rFonts w:hAnsi="宋体"/>
                <w:color w:val="000000"/>
                <w:sz w:val="24"/>
              </w:rPr>
              <w:t>日，终霜日为</w:t>
            </w:r>
            <w:r>
              <w:rPr>
                <w:color w:val="000000"/>
                <w:sz w:val="24"/>
              </w:rPr>
              <w:t>3</w:t>
            </w:r>
            <w:r>
              <w:rPr>
                <w:rFonts w:hAnsi="宋体"/>
                <w:color w:val="000000"/>
                <w:sz w:val="24"/>
              </w:rPr>
              <w:t>月</w:t>
            </w:r>
            <w:r>
              <w:rPr>
                <w:color w:val="000000"/>
                <w:sz w:val="24"/>
              </w:rPr>
              <w:t>30</w:t>
            </w:r>
            <w:r>
              <w:rPr>
                <w:rFonts w:hAnsi="宋体"/>
                <w:color w:val="000000"/>
                <w:sz w:val="24"/>
              </w:rPr>
              <w:t>日，全年无霜期</w:t>
            </w:r>
            <w:r>
              <w:rPr>
                <w:color w:val="000000"/>
                <w:sz w:val="24"/>
              </w:rPr>
              <w:t>229</w:t>
            </w:r>
            <w:r>
              <w:rPr>
                <w:rFonts w:hAnsi="宋体"/>
                <w:color w:val="000000"/>
                <w:sz w:val="24"/>
              </w:rPr>
              <w:t>天，最长</w:t>
            </w:r>
            <w:r>
              <w:rPr>
                <w:color w:val="000000"/>
                <w:sz w:val="24"/>
              </w:rPr>
              <w:t>256</w:t>
            </w:r>
            <w:r>
              <w:rPr>
                <w:rFonts w:hAnsi="宋体"/>
                <w:color w:val="000000"/>
                <w:sz w:val="24"/>
              </w:rPr>
              <w:t>天</w:t>
            </w:r>
            <w:r>
              <w:rPr>
                <w:color w:val="000000"/>
                <w:sz w:val="24"/>
              </w:rPr>
              <w:t>(1977</w:t>
            </w:r>
            <w:r>
              <w:rPr>
                <w:rFonts w:hAnsi="宋体"/>
                <w:color w:val="000000"/>
                <w:sz w:val="24"/>
              </w:rPr>
              <w:t>年</w:t>
            </w:r>
            <w:r>
              <w:rPr>
                <w:color w:val="000000"/>
                <w:sz w:val="24"/>
              </w:rPr>
              <w:t>)</w:t>
            </w:r>
            <w:r>
              <w:rPr>
                <w:rFonts w:hAnsi="宋体"/>
                <w:color w:val="000000"/>
                <w:sz w:val="24"/>
              </w:rPr>
              <w:t>，最短</w:t>
            </w:r>
            <w:r>
              <w:rPr>
                <w:color w:val="000000"/>
                <w:sz w:val="24"/>
              </w:rPr>
              <w:t>199</w:t>
            </w:r>
            <w:r>
              <w:rPr>
                <w:rFonts w:hAnsi="宋体"/>
                <w:color w:val="000000"/>
                <w:sz w:val="24"/>
              </w:rPr>
              <w:t>天</w:t>
            </w:r>
            <w:r>
              <w:rPr>
                <w:color w:val="000000"/>
                <w:sz w:val="24"/>
              </w:rPr>
              <w:t>(1979</w:t>
            </w:r>
            <w:r>
              <w:rPr>
                <w:rFonts w:hAnsi="宋体"/>
                <w:color w:val="000000"/>
                <w:sz w:val="24"/>
              </w:rPr>
              <w:t>年</w:t>
            </w:r>
            <w:r>
              <w:rPr>
                <w:color w:val="000000"/>
                <w:sz w:val="24"/>
              </w:rPr>
              <w:t>)</w:t>
            </w:r>
            <w:r>
              <w:rPr>
                <w:rFonts w:hAnsi="宋体"/>
                <w:color w:val="000000"/>
                <w:sz w:val="24"/>
              </w:rPr>
              <w:t>。</w:t>
            </w:r>
          </w:p>
          <w:p>
            <w:pPr>
              <w:spacing w:line="440" w:lineRule="exact"/>
              <w:ind w:firstLine="482" w:firstLineChars="200"/>
              <w:rPr>
                <w:rFonts w:hint="eastAsia"/>
                <w:b/>
                <w:sz w:val="24"/>
                <w:lang w:val="zh-CN" w:eastAsia="zh-CN"/>
              </w:rPr>
            </w:pPr>
            <w:r>
              <w:rPr>
                <w:rFonts w:hint="eastAsia"/>
                <w:b/>
                <w:sz w:val="24"/>
                <w:lang w:val="zh-CN" w:eastAsia="zh-CN"/>
              </w:rPr>
              <w:t>三、水文、水系</w:t>
            </w:r>
          </w:p>
          <w:p>
            <w:pPr>
              <w:pStyle w:val="42"/>
              <w:snapToGrid w:val="0"/>
              <w:spacing w:line="360" w:lineRule="auto"/>
              <w:rPr>
                <w:rFonts w:hint="eastAsia"/>
              </w:rPr>
            </w:pPr>
            <w:r>
              <w:rPr>
                <w:rFonts w:hint="eastAsia"/>
              </w:rPr>
              <w:t>建设项目所在地附近的主要河流为长江。 </w:t>
            </w:r>
          </w:p>
          <w:p>
            <w:pPr>
              <w:pStyle w:val="42"/>
              <w:snapToGrid w:val="0"/>
              <w:spacing w:line="360" w:lineRule="auto"/>
              <w:rPr>
                <w:rFonts w:hint="eastAsia"/>
              </w:rPr>
            </w:pPr>
            <w:r>
              <w:rPr>
                <w:rFonts w:hint="eastAsia"/>
              </w:rPr>
              <w:t>南京经济技术开发区以北1公里处为长江新生圩江段，本江段为感潮江段，年平均流量约28600m</w:t>
            </w:r>
            <w:r>
              <w:rPr>
                <w:rFonts w:hint="eastAsia"/>
                <w:vertAlign w:val="superscript"/>
              </w:rPr>
              <w:t>3</w:t>
            </w:r>
            <w:r>
              <w:rPr>
                <w:rFonts w:hint="eastAsia"/>
              </w:rPr>
              <w:t>/s。枯水期与常年水量比为0.89：1，平均潮差0.57m，最大潮位差1.56 m。洪水期最大流速3.39 m/s，平水期流速1.0 m/s，平均流速1.1－1.4m/s。水面比降高水位时为万分之零点二，低水位时为万分之零点三。 </w:t>
            </w:r>
          </w:p>
          <w:p>
            <w:pPr>
              <w:pStyle w:val="42"/>
              <w:snapToGrid w:val="0"/>
              <w:spacing w:line="360" w:lineRule="auto"/>
              <w:rPr>
                <w:rFonts w:hint="eastAsia"/>
              </w:rPr>
            </w:pPr>
            <w:r>
              <w:rPr>
                <w:rFonts w:hint="eastAsia"/>
              </w:rPr>
              <w:t>开发区西南为兴武沟。兴武沟自南向北流入长江。兴武沟长约3.5Km，宽 20m，水深1－2.5m。枯水期水流基本静止。兴武沟是开发区内的主要排水沟。开发区污水处理厂出水即通过兴武沟排入长江。</w:t>
            </w:r>
          </w:p>
          <w:p>
            <w:pPr>
              <w:spacing w:line="440" w:lineRule="exact"/>
              <w:ind w:firstLine="482" w:firstLineChars="200"/>
              <w:rPr>
                <w:rFonts w:hint="eastAsia"/>
                <w:b/>
                <w:sz w:val="24"/>
                <w:lang w:val="zh-CN" w:eastAsia="zh-CN"/>
              </w:rPr>
            </w:pPr>
            <w:r>
              <w:rPr>
                <w:rFonts w:hint="eastAsia"/>
                <w:b/>
                <w:sz w:val="24"/>
                <w:lang w:val="zh-CN" w:eastAsia="zh-CN"/>
              </w:rPr>
              <w:t>四、生态环境</w:t>
            </w:r>
          </w:p>
          <w:p>
            <w:pPr>
              <w:pStyle w:val="42"/>
              <w:snapToGrid w:val="0"/>
              <w:spacing w:line="360" w:lineRule="auto"/>
              <w:rPr>
                <w:rFonts w:hint="eastAsia"/>
              </w:rPr>
            </w:pPr>
            <w:r>
              <w:rPr>
                <w:rFonts w:hint="eastAsia"/>
              </w:rPr>
              <w:t>南京经济技术开发区位于北亚热带和暖温带季风气候，光照充足，雨水充沛，四季分明，自然资源丰富，属常绿落叶、阔叶混交林带。由于该地区人类的开发活动，自然植被遭到破坏，目前该区域内植被类型主要有：山地森林植被、水生植被和栽培植被。该地区的自然植被主要是指开发区在规划工业用地的同时，保留的约百万平方米的山地作为乌龙山公园，乌龙山高度在 50 米左右，山上林木幽郁葱葱，植被良好。除此之外，开发区的植被主要是人工植被，分布着以人工栽培为主的乔、灌木，以及未开发地区的次生植被。 </w:t>
            </w:r>
          </w:p>
          <w:p>
            <w:pPr>
              <w:pStyle w:val="42"/>
              <w:snapToGrid w:val="0"/>
              <w:spacing w:line="360" w:lineRule="auto"/>
              <w:rPr>
                <w:rFonts w:hint="eastAsia"/>
              </w:rPr>
            </w:pPr>
            <w:r>
              <w:rPr>
                <w:rFonts w:hint="eastAsia"/>
              </w:rPr>
              <w:t>随着城镇化及工业的迅速发展，开发区内自然生境不断萎缩，开发区域内野生动物无论数量还是种类都在减少，目前仅存有少量野兔、鼠等小型动物。在沿江残留的湿地区域，天然的湿地植被尚比较完善，水禽鸟类较多。 </w:t>
            </w:r>
          </w:p>
          <w:p>
            <w:pPr>
              <w:pStyle w:val="42"/>
              <w:snapToGrid w:val="0"/>
              <w:spacing w:line="360" w:lineRule="auto"/>
              <w:rPr>
                <w:rFonts w:hint="eastAsia"/>
              </w:rPr>
            </w:pPr>
            <w:r>
              <w:rPr>
                <w:rFonts w:hint="eastAsia"/>
              </w:rPr>
              <w:t>长江新生圩段的水生生物中有大量经济鱼类和珍稀动物的存在，总鱼类约有 120 多种；  其中国家级保护珍稀动物和鱼类主要有白鲟、江豚、胭脂鱼等，但是由于沿江工业不断发展，鱼类等水生生物的洄游通道和生境遭受一定程度干扰，一些珍稀动物和重要的鱼类资源已经出现明显的下降趋势。</w:t>
            </w:r>
          </w:p>
          <w:p>
            <w:pPr>
              <w:pStyle w:val="42"/>
              <w:snapToGrid w:val="0"/>
              <w:spacing w:line="360" w:lineRule="auto"/>
              <w:rPr>
                <w:rFonts w:hint="eastAsia"/>
              </w:rPr>
            </w:pPr>
            <w:r>
              <w:rPr>
                <w:rFonts w:hint="eastAsia"/>
              </w:rPr>
              <w:t>项目所在地附近无珍稀野生动植物分布。</w:t>
            </w:r>
          </w:p>
          <w:p>
            <w:pPr>
              <w:spacing w:line="400" w:lineRule="exact"/>
              <w:rPr>
                <w:b/>
                <w:szCs w:val="28"/>
              </w:rPr>
            </w:pPr>
            <w:r>
              <w:rPr>
                <w:b/>
                <w:szCs w:val="28"/>
              </w:rPr>
              <w:t>社会环境简况（社会经济结构、教育、文化、文物保护等）：</w:t>
            </w:r>
          </w:p>
          <w:p>
            <w:pPr>
              <w:pStyle w:val="42"/>
              <w:snapToGrid w:val="0"/>
              <w:spacing w:line="360" w:lineRule="auto"/>
              <w:rPr>
                <w:rFonts w:hint="eastAsia"/>
              </w:rPr>
            </w:pPr>
            <w:r>
              <w:rPr>
                <w:rFonts w:hint="eastAsia"/>
              </w:rPr>
              <w:t>南京经济技术开发区成立于1992年9月18日，1993年11月经江苏省政府批准为省级开发区。2002年3月15日经国务院批准为国家级经济技术开发区。2003年3月10日，国务院批准在开发区内设立国家级出口加工区。2003年7月1日，开发区管委会顺利通过ISO14001环境管理体系认证，并于2006年7月被江苏省环保厅评为ISO14000省级示范区。 </w:t>
            </w:r>
          </w:p>
          <w:p>
            <w:pPr>
              <w:pStyle w:val="42"/>
              <w:snapToGrid w:val="0"/>
              <w:spacing w:line="360" w:lineRule="auto"/>
              <w:rPr>
                <w:rFonts w:hint="eastAsia"/>
              </w:rPr>
            </w:pPr>
            <w:r>
              <w:rPr>
                <w:rFonts w:hint="eastAsia"/>
              </w:rPr>
              <w:t>开发区所依托的栖霞区面积340km</w:t>
            </w:r>
            <w:r>
              <w:rPr>
                <w:rFonts w:hint="eastAsia"/>
                <w:vertAlign w:val="superscript"/>
              </w:rPr>
              <w:t>2</w:t>
            </w:r>
            <w:r>
              <w:rPr>
                <w:rFonts w:hint="eastAsia"/>
              </w:rPr>
              <w:t>，沿江岸线84km，是南京重要的石化、汽车、电子、建材工业区和企业、资金、人才、技术密集区，为开发区发展提供了广阔的腹地。与开发区毗邻的仙林大学城面积47平方公里，由大学集中区、科技产业区和高档生活区组成，环境优美，文化氛围浓厚，拥有众多高等学校、科研机构和其他文化事业团体，是现代信息传播平台和国内最大的数码港之一，为开发区提供了强大的人才和智力支持。开发区建设的指导思想是：以港口为依托，国际经贸为先导，以先进技术产业为基础，兴办出口创汇企业为重点，坚持科工贸相结合，努力把开发区建设成现代化、多功能、环境优美的工业港口新区和开放型的经济中心。</w:t>
            </w:r>
          </w:p>
          <w:p>
            <w:pPr>
              <w:widowControl/>
              <w:spacing w:line="360" w:lineRule="auto"/>
              <w:jc w:val="left"/>
              <w:rPr>
                <w:b/>
                <w:szCs w:val="28"/>
              </w:rPr>
            </w:pPr>
            <w:r>
              <w:rPr>
                <w:b/>
                <w:szCs w:val="28"/>
              </w:rPr>
              <w:t>规划及基础设施建设情况</w:t>
            </w:r>
          </w:p>
          <w:p>
            <w:pPr>
              <w:pStyle w:val="42"/>
              <w:snapToGrid w:val="0"/>
              <w:spacing w:line="360" w:lineRule="auto"/>
              <w:rPr>
                <w:rFonts w:hint="eastAsia"/>
              </w:rPr>
            </w:pPr>
            <w:r>
              <w:rPr>
                <w:rFonts w:hint="eastAsia"/>
              </w:rPr>
              <w:t xml:space="preserve">南京经济技术开发区（原名南京新港工业区）成立于1992年9月18日，1993年11月经江苏省政府批准为省级开发区。2002年3月15日经国务院批准为国家级经济技术开发区。2003年3月10日，国务院批准在开发区内设立国家级出口加工区。2003年 7月1日，开发区管委会顺利通过 ISO14001环境管理体系认证，并于2006年7月被江苏省环保厅评为ISO14000省级示范区。 </w:t>
            </w:r>
          </w:p>
          <w:p>
            <w:pPr>
              <w:pStyle w:val="42"/>
              <w:snapToGrid w:val="0"/>
              <w:spacing w:line="360" w:lineRule="auto"/>
              <w:rPr>
                <w:rFonts w:hint="eastAsia"/>
              </w:rPr>
            </w:pPr>
            <w:r>
              <w:rPr>
                <w:rFonts w:hint="eastAsia"/>
              </w:rPr>
              <w:t>开发区位于南京市东北郊，紧临中国内河第一大港南京港新生圩外贸港区和南京长江二桥，距市区5公里。开发区实际开发面积为16.23km</w:t>
            </w:r>
            <w:r>
              <w:rPr>
                <w:rFonts w:hint="eastAsia"/>
                <w:vertAlign w:val="superscript"/>
              </w:rPr>
              <w:t>2</w:t>
            </w:r>
            <w:r>
              <w:rPr>
                <w:rFonts w:hint="eastAsia"/>
              </w:rPr>
              <w:t xml:space="preserve">，其中先期（一、二、三期）开发面积13.37平方公里（含乌龙山风景区），具体四至范围为东起仙新路，西至二桥连接线，北起太新路、新港大道，南至栖霞大道（一、二期于1992年建设，三期于2000 年建设）。开发区内设有工业、保税仓储、金融贸易和综合服务４个功能区。 </w:t>
            </w:r>
          </w:p>
          <w:p>
            <w:pPr>
              <w:pStyle w:val="42"/>
              <w:snapToGrid w:val="0"/>
              <w:spacing w:line="360" w:lineRule="auto"/>
              <w:rPr>
                <w:rFonts w:hint="eastAsia"/>
              </w:rPr>
            </w:pPr>
            <w:r>
              <w:rPr>
                <w:rFonts w:hint="eastAsia"/>
              </w:rPr>
              <w:t>开发区所依托的栖霞区面积340km</w:t>
            </w:r>
            <w:r>
              <w:rPr>
                <w:rFonts w:hint="eastAsia"/>
                <w:vertAlign w:val="superscript"/>
              </w:rPr>
              <w:t>2</w:t>
            </w:r>
            <w:r>
              <w:rPr>
                <w:rFonts w:hint="eastAsia"/>
              </w:rPr>
              <w:t xml:space="preserve">，沿江岸线84km，是南京重要的石化、汽车、电子、建材工业区和企业、资金、人才、技术密集区，为开发区发展提供了广阔的腹地。与开发区毗邻的仙林大学城面积47平方公里，由大学集中区、科技产业区和高档生活区组成，环境优美，文化氛围浓厚，拥有众多高等院校、科研机构和其他文化事业团体，是现代信息传播平台和国内最大的数码港之一，为开发区提供了强大的人才和智力支持。开发区建设的指导思想是：以港口为依托，国际经贸为先导，以先进技术产业为基础，兴办出口创汇企业为重点，坚持科工贸相结合，努力把开发区建设成现代化、多功能、环境优美的工业港口新区和开放型的经济中心。 </w:t>
            </w:r>
          </w:p>
          <w:p>
            <w:pPr>
              <w:pStyle w:val="42"/>
              <w:snapToGrid w:val="0"/>
              <w:spacing w:line="360" w:lineRule="auto"/>
              <w:rPr>
                <w:rFonts w:hint="eastAsia"/>
              </w:rPr>
            </w:pPr>
            <w:r>
              <w:rPr>
                <w:rFonts w:hint="eastAsia"/>
              </w:rPr>
              <w:t xml:space="preserve">南京经济技术开发区于 2008 年对开发区进行了回顾性评价，并于2009 年2月取得了江苏省环保厅《关于印发南京经济开发区回顾性环境影响报告书技术评审会会议纪要的通知》（苏环审[2009]21 号），根据《南京经济技术开发区回顾性环境影响报告书》将其结论和开发存在问题摘录如下： </w:t>
            </w:r>
          </w:p>
          <w:p>
            <w:pPr>
              <w:pStyle w:val="42"/>
              <w:snapToGrid w:val="0"/>
              <w:spacing w:line="360" w:lineRule="auto"/>
              <w:rPr>
                <w:rFonts w:hint="eastAsia"/>
              </w:rPr>
            </w:pPr>
            <w:r>
              <w:rPr>
                <w:rFonts w:hint="eastAsia"/>
              </w:rPr>
              <w:t xml:space="preserve">（1）评价结论 </w:t>
            </w:r>
          </w:p>
          <w:p>
            <w:pPr>
              <w:pStyle w:val="42"/>
              <w:snapToGrid w:val="0"/>
              <w:spacing w:line="360" w:lineRule="auto"/>
              <w:rPr>
                <w:rFonts w:hint="eastAsia"/>
              </w:rPr>
            </w:pPr>
            <w:r>
              <w:rPr>
                <w:rFonts w:hint="eastAsia"/>
              </w:rPr>
              <w:t xml:space="preserve">南京经济技术开发区以原规划、环评及其批复为依据，在科学发展观的指引下，大力发展以电子信息、生物医药、轻工机械和新型材料等高新技术为主体的特色产业，在招商引资方面取得较大的成绩，率先成为全省一流开发区。 </w:t>
            </w:r>
          </w:p>
          <w:p>
            <w:pPr>
              <w:pStyle w:val="42"/>
              <w:snapToGrid w:val="0"/>
              <w:spacing w:line="360" w:lineRule="auto"/>
              <w:rPr>
                <w:rFonts w:hint="eastAsia"/>
              </w:rPr>
            </w:pPr>
            <w:r>
              <w:rPr>
                <w:rFonts w:hint="eastAsia"/>
              </w:rPr>
              <w:t xml:space="preserve">由于工业经济的高速发展，不可避免地会对区域环境质量造成一定的影响，但是通过本次评价，可以看出，南京经济技术开发区的发展规模和时序与原规划、环评基本一致；入区项目与产业政策和用地布局规划基本相符；开发区的基础设施建设、环境管理体系较为完善；区域环境质量总体能够达到相应功能要求；区内众多企业清洁生产水平较高，开发区产业链得到较好的构建和拓展；开发区环境风险防范措施具有一定的运行可行性，应急预案分工细致，职责分明，具有较强的可行性；区内绝大多数公众对开发区的发展持支持态度。 </w:t>
            </w:r>
          </w:p>
          <w:p>
            <w:pPr>
              <w:pStyle w:val="42"/>
              <w:snapToGrid w:val="0"/>
              <w:spacing w:line="360" w:lineRule="auto"/>
              <w:rPr>
                <w:rFonts w:hint="eastAsia"/>
              </w:rPr>
            </w:pPr>
            <w:r>
              <w:rPr>
                <w:rFonts w:hint="eastAsia"/>
              </w:rPr>
              <w:t xml:space="preserve">综上，只要开发区继续把环境保护和经济发展放在同等重要的位置，按照原规划、环评及其批复的要求，落实本报告书提出的整改建议和要求，落实生态建设要求，强化环境管理体制，就可以实现开发区建设和环境保护的“双赢”，促进区域经济的可持续发展。 </w:t>
            </w:r>
          </w:p>
          <w:p>
            <w:pPr>
              <w:pStyle w:val="42"/>
              <w:snapToGrid w:val="0"/>
              <w:spacing w:line="360" w:lineRule="auto"/>
              <w:rPr>
                <w:rFonts w:hint="eastAsia"/>
              </w:rPr>
            </w:pPr>
            <w:r>
              <w:rPr>
                <w:rFonts w:hint="eastAsia"/>
              </w:rPr>
              <w:t xml:space="preserve">（2）存在问题： </w:t>
            </w:r>
          </w:p>
          <w:p>
            <w:pPr>
              <w:pStyle w:val="42"/>
              <w:snapToGrid w:val="0"/>
              <w:spacing w:line="360" w:lineRule="auto"/>
              <w:rPr>
                <w:rFonts w:hint="eastAsia"/>
              </w:rPr>
            </w:pPr>
            <w:r>
              <w:rPr>
                <w:rFonts w:hint="eastAsia"/>
              </w:rPr>
              <w:t xml:space="preserve">①入区项目产业方向问题 </w:t>
            </w:r>
          </w:p>
          <w:p>
            <w:pPr>
              <w:pStyle w:val="42"/>
              <w:snapToGrid w:val="0"/>
              <w:spacing w:line="360" w:lineRule="auto"/>
              <w:rPr>
                <w:rFonts w:hint="eastAsia"/>
              </w:rPr>
            </w:pPr>
            <w:r>
              <w:rPr>
                <w:rFonts w:hint="eastAsia"/>
              </w:rPr>
              <w:t xml:space="preserve">开发区较早引进的部分化工企业已不符合开发区产业政策和“南京市工业布局总体规划”要求。 </w:t>
            </w:r>
          </w:p>
          <w:p>
            <w:pPr>
              <w:pStyle w:val="42"/>
              <w:snapToGrid w:val="0"/>
              <w:spacing w:line="360" w:lineRule="auto"/>
              <w:rPr>
                <w:rFonts w:hint="eastAsia"/>
              </w:rPr>
            </w:pPr>
            <w:r>
              <w:rPr>
                <w:rFonts w:hint="eastAsia"/>
              </w:rPr>
              <w:t xml:space="preserve">②企业污染控制措施 </w:t>
            </w:r>
          </w:p>
          <w:p>
            <w:pPr>
              <w:pStyle w:val="42"/>
              <w:snapToGrid w:val="0"/>
              <w:spacing w:line="360" w:lineRule="auto"/>
              <w:rPr>
                <w:rFonts w:hint="eastAsia"/>
              </w:rPr>
            </w:pPr>
            <w:r>
              <w:rPr>
                <w:rFonts w:hint="eastAsia"/>
              </w:rPr>
              <w:t xml:space="preserve">部分企业存在污水处理措施不能正常运行，特别是开发区一期的部分企业由于建设时间较早，很多企业均采用地埋式污水处理装置，不便于维护，不能及时进行维修；部分企业污水处理措施工艺不合理，会导致稀释排放；部分企业危险固废场所未能按规定进行设置。 </w:t>
            </w:r>
          </w:p>
          <w:p>
            <w:pPr>
              <w:pStyle w:val="42"/>
              <w:snapToGrid w:val="0"/>
              <w:spacing w:line="360" w:lineRule="auto"/>
              <w:rPr>
                <w:rFonts w:hint="eastAsia"/>
              </w:rPr>
            </w:pPr>
            <w:r>
              <w:rPr>
                <w:rFonts w:hint="eastAsia"/>
              </w:rPr>
              <w:t xml:space="preserve">③环境质量 </w:t>
            </w:r>
          </w:p>
          <w:p>
            <w:pPr>
              <w:pStyle w:val="42"/>
              <w:snapToGrid w:val="0"/>
              <w:spacing w:line="360" w:lineRule="auto"/>
              <w:rPr>
                <w:rFonts w:hint="eastAsia"/>
              </w:rPr>
            </w:pPr>
            <w:r>
              <w:rPr>
                <w:rFonts w:hint="eastAsia"/>
              </w:rPr>
              <w:t xml:space="preserve">开发区目前空气环境质量尚可，目前地下水除氨氮外，其余各项指标基本在《地下水质量标准》（GB/T14848-1993）I～III 类标准之间。目前土壤环境中重金属均满足二级标准。 </w:t>
            </w:r>
          </w:p>
          <w:p>
            <w:pPr>
              <w:pStyle w:val="42"/>
              <w:snapToGrid w:val="0"/>
              <w:spacing w:line="360" w:lineRule="auto"/>
              <w:rPr>
                <w:rFonts w:hint="eastAsia"/>
              </w:rPr>
            </w:pPr>
            <w:r>
              <w:rPr>
                <w:rFonts w:hint="eastAsia"/>
              </w:rPr>
              <w:t xml:space="preserve">④环境管理问题 </w:t>
            </w:r>
          </w:p>
          <w:p>
            <w:pPr>
              <w:pStyle w:val="42"/>
              <w:snapToGrid w:val="0"/>
              <w:spacing w:line="360" w:lineRule="auto"/>
              <w:rPr>
                <w:rFonts w:hint="eastAsia"/>
              </w:rPr>
            </w:pPr>
            <w:r>
              <w:rPr>
                <w:rFonts w:hint="eastAsia"/>
              </w:rPr>
              <w:t xml:space="preserve">仅对开发区一、二、三期进行了区域环境影响评价；在用地布局上存在着少数行业企业用地交叉的现象；开发区建设初期引进了一些化工、农药企业；开发区管委会对区域内环境质量状况掌握基本是通过企业项目环评时的监测数据，未对大气、地表水和噪声进行定期监测；开发区管委会环保管理人员配备较薄弱，目前仅仅停留在为企业服务层面上；由于开发区环境影响评价文件编制较早，环境容量的计算及总量控制要求与现有要求存在一定差距。 </w:t>
            </w:r>
          </w:p>
          <w:p>
            <w:pPr>
              <w:pStyle w:val="42"/>
              <w:snapToGrid w:val="0"/>
              <w:spacing w:line="360" w:lineRule="auto"/>
              <w:rPr>
                <w:rFonts w:hint="eastAsia"/>
              </w:rPr>
            </w:pPr>
            <w:r>
              <w:rPr>
                <w:rFonts w:hint="eastAsia"/>
              </w:rPr>
              <w:t xml:space="preserve">⑤清洁生产、循环经济 </w:t>
            </w:r>
          </w:p>
          <w:p>
            <w:pPr>
              <w:pStyle w:val="42"/>
              <w:snapToGrid w:val="0"/>
              <w:spacing w:line="360" w:lineRule="auto"/>
              <w:rPr>
                <w:rFonts w:hint="eastAsia"/>
              </w:rPr>
            </w:pPr>
            <w:r>
              <w:rPr>
                <w:rFonts w:hint="eastAsia"/>
              </w:rPr>
              <w:t xml:space="preserve">个别企业的能耗、水耗、废水产生量、SO2 排放量相对较大，清洁生产水平距生态型工业园的要求尚有一定距离；开发区中水回用率较低；生物医药行业中各企业没有形成相互链接的产业链条，各企业仍然是单打独干为主，现在的产业链条较脆弱，主要集中在中药产品的生产企业。轻工机械行业中企业产品种类较多，结构分散；企业数量较多，但规模偏小；没有主要的龙头核心企业，产业集聚和辐射效力不强，各企业之间关联度较低，产业链尚未形成。 </w:t>
            </w:r>
          </w:p>
          <w:p>
            <w:pPr>
              <w:pStyle w:val="42"/>
              <w:snapToGrid w:val="0"/>
              <w:spacing w:line="360" w:lineRule="auto"/>
              <w:rPr>
                <w:rFonts w:hint="eastAsia"/>
              </w:rPr>
            </w:pPr>
            <w:r>
              <w:rPr>
                <w:rFonts w:hint="eastAsia"/>
              </w:rPr>
              <w:t xml:space="preserve">⑥事故风险防范和应急措施 </w:t>
            </w:r>
          </w:p>
          <w:p>
            <w:pPr>
              <w:pStyle w:val="42"/>
              <w:snapToGrid w:val="0"/>
              <w:spacing w:line="360" w:lineRule="auto"/>
              <w:rPr>
                <w:rFonts w:hint="eastAsia"/>
              </w:rPr>
            </w:pPr>
            <w:r>
              <w:rPr>
                <w:rFonts w:hint="eastAsia"/>
              </w:rPr>
              <w:t xml:space="preserve">部分企业的事故池、在线监测仪、清下水监控池未设置，个别企业环保应急预案未编制；在事故防范方面，应结合各企业的生产及贮运情况，进一步完善事故防范和应急措施。 </w:t>
            </w:r>
          </w:p>
          <w:p>
            <w:pPr>
              <w:pStyle w:val="42"/>
              <w:snapToGrid w:val="0"/>
              <w:spacing w:line="360" w:lineRule="auto"/>
              <w:rPr>
                <w:rFonts w:hint="eastAsia"/>
              </w:rPr>
            </w:pPr>
            <w:r>
              <w:rPr>
                <w:rFonts w:hint="eastAsia"/>
              </w:rPr>
              <w:t xml:space="preserve">（3）改进措施 </w:t>
            </w:r>
          </w:p>
          <w:p>
            <w:pPr>
              <w:pStyle w:val="42"/>
              <w:snapToGrid w:val="0"/>
              <w:spacing w:line="360" w:lineRule="auto"/>
              <w:rPr>
                <w:rFonts w:hint="eastAsia"/>
              </w:rPr>
            </w:pPr>
            <w:r>
              <w:rPr>
                <w:rFonts w:hint="eastAsia"/>
              </w:rPr>
              <w:t xml:space="preserve">自 2008 年开始，南京经济技术开发区针对《南京经济技术开发区回顾性环境影响报告书》中提出的问题，逐一进行修正。其中对于早期入区的化工企业正在进行逐步搬迁，对于开发区一期内雨污合流及一期企业污水未集中处理的问题，开发区也已采取措施，自 2010 年开始南京经济技术开发区乌龙山以北地区的污水管网已基本铺设完成，开发区要求该区域企业按照“雨污分流”的要求，将污水集中排放至污水管网，由南京高科水务有限公司（南京经济技术开发区污水处理厂）进行集中处理。 </w:t>
            </w:r>
          </w:p>
          <w:p>
            <w:pPr>
              <w:pStyle w:val="42"/>
              <w:snapToGrid w:val="0"/>
              <w:spacing w:line="360" w:lineRule="auto"/>
              <w:rPr>
                <w:rFonts w:hint="eastAsia"/>
              </w:rPr>
            </w:pPr>
            <w:r>
              <w:rPr>
                <w:rFonts w:hint="eastAsia"/>
              </w:rPr>
              <w:t xml:space="preserve">①严格按照批复及产业政策要求引进企业，鼓励投资规模大，环境污染小，科技含量高、附加值高的项目入区；鼓励符合产业链要求和循环经济原则的生态型项目。 </w:t>
            </w:r>
          </w:p>
          <w:p>
            <w:pPr>
              <w:pStyle w:val="42"/>
              <w:snapToGrid w:val="0"/>
              <w:spacing w:line="360" w:lineRule="auto"/>
              <w:rPr>
                <w:rFonts w:hint="eastAsia"/>
              </w:rPr>
            </w:pPr>
            <w:r>
              <w:rPr>
                <w:rFonts w:hint="eastAsia"/>
              </w:rPr>
              <w:t xml:space="preserve">②开发区应积极推动企业实行清洁生产审核，各企业应加大节能减排力度，全面提高清洁生产水平；加大在企业层面的中水回用力度；开发区在做大、做长现有产业链的同时，仍可继续挖掘开发区的产业资源，开拓新的产业链，对于不符合开发区产业链的产业不予引进，或限制其发展规模，逐步优化开发区产业；加快发展绿色物流；着手进行开发区生态信息平台的建设 </w:t>
            </w:r>
          </w:p>
          <w:p>
            <w:pPr>
              <w:pStyle w:val="42"/>
              <w:snapToGrid w:val="0"/>
              <w:spacing w:line="360" w:lineRule="auto"/>
              <w:rPr>
                <w:rFonts w:hint="eastAsia"/>
                <w:szCs w:val="24"/>
              </w:rPr>
            </w:pPr>
            <w:r>
              <w:rPr>
                <w:rFonts w:hint="eastAsia"/>
                <w:szCs w:val="24"/>
              </w:rPr>
              <w:t xml:space="preserve">③加强突发性事故特性及实例的研究；设立环境监控室，实时监控污水厂和企业污染排放情况；工艺系统控制中采用可靠的集散控制系统(DCS)；定期进行风险排查。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三、项目所在区域基础设施规划情况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（1）给水工程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来自化纤厂自备水厂，区内设增压泵站 1 座，日供水能力达 10 万吨，能满足开发区的用水需求。铺设管径 100～900mm 的供水管线共计 53.2km。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（2）排水工程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目前，区内排水采用雨污分流制。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①污水工程 </w:t>
            </w:r>
          </w:p>
          <w:p>
            <w:pPr>
              <w:adjustRightInd w:val="0"/>
              <w:snapToGrid w:val="0"/>
              <w:spacing w:line="360" w:lineRule="auto"/>
              <w:ind w:firstLine="480" w:firstLineChars="200"/>
              <w:jc w:val="left"/>
              <w:rPr>
                <w:rFonts w:hint="eastAsia"/>
                <w:sz w:val="24"/>
                <w:szCs w:val="24"/>
              </w:rPr>
            </w:pPr>
            <w:r>
              <w:rPr>
                <w:rFonts w:hint="eastAsia"/>
                <w:sz w:val="24"/>
                <w:szCs w:val="24"/>
              </w:rPr>
              <w:t>南京经济技术开发区污水处理厂位于南京经济技术开发区二期开发区西南角，排口位于兴武沟入江口约 1800m，岸边排放。污水处理厂于2002年开始建设，设计规模为4万m</w:t>
            </w:r>
            <w:r>
              <w:rPr>
                <w:rFonts w:hint="eastAsia"/>
                <w:sz w:val="24"/>
                <w:szCs w:val="24"/>
                <w:vertAlign w:val="superscript"/>
              </w:rPr>
              <w:t>3</w:t>
            </w:r>
            <w:r>
              <w:rPr>
                <w:rFonts w:hint="eastAsia"/>
                <w:sz w:val="24"/>
                <w:szCs w:val="24"/>
              </w:rPr>
              <w:t>/d，按照一次设计，分期实施的计划建设，其中一期污水处理工程2003年5月建成投产，处理能力为2万m</w:t>
            </w:r>
            <w:r>
              <w:rPr>
                <w:rFonts w:hint="eastAsia"/>
                <w:sz w:val="24"/>
                <w:szCs w:val="24"/>
                <w:vertAlign w:val="superscript"/>
              </w:rPr>
              <w:t>3</w:t>
            </w:r>
            <w:r>
              <w:rPr>
                <w:rFonts w:hint="eastAsia"/>
                <w:sz w:val="24"/>
                <w:szCs w:val="24"/>
              </w:rPr>
              <w:t>/d，二期于2007年11月投资建设，处理能力2万m</w:t>
            </w:r>
            <w:r>
              <w:rPr>
                <w:rFonts w:hint="eastAsia"/>
                <w:sz w:val="24"/>
                <w:szCs w:val="24"/>
                <w:vertAlign w:val="superscript"/>
              </w:rPr>
              <w:t>3</w:t>
            </w:r>
            <w:r>
              <w:rPr>
                <w:rFonts w:hint="eastAsia"/>
                <w:sz w:val="24"/>
                <w:szCs w:val="24"/>
              </w:rPr>
              <w:t xml:space="preserve">/d 的工程，目前污水处理厂二期工程已投产使用，于2003年5月通过了竣工验收，运行稳定。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②雨水管网工程： </w:t>
            </w:r>
          </w:p>
          <w:p>
            <w:pPr>
              <w:adjustRightInd w:val="0"/>
              <w:snapToGrid w:val="0"/>
              <w:spacing w:line="360" w:lineRule="auto"/>
              <w:ind w:firstLine="480" w:firstLineChars="200"/>
              <w:jc w:val="left"/>
              <w:rPr>
                <w:rFonts w:hint="eastAsia"/>
                <w:sz w:val="24"/>
                <w:szCs w:val="24"/>
              </w:rPr>
            </w:pPr>
            <w:r>
              <w:rPr>
                <w:rFonts w:hint="eastAsia"/>
                <w:sz w:val="24"/>
                <w:szCs w:val="24"/>
              </w:rPr>
              <w:t>开发区雨水经雨水管网收集后，通过兴武沟排入长江。目前兴武沟上尚未设置任何节制闸。开发区内现已建设雨水提升泵房 3 座，能力分别为 4m</w:t>
            </w:r>
            <w:r>
              <w:rPr>
                <w:rFonts w:hint="eastAsia"/>
                <w:sz w:val="24"/>
                <w:szCs w:val="24"/>
                <w:vertAlign w:val="superscript"/>
              </w:rPr>
              <w:t>3</w:t>
            </w:r>
            <w:r>
              <w:rPr>
                <w:rFonts w:hint="eastAsia"/>
                <w:sz w:val="24"/>
                <w:szCs w:val="24"/>
              </w:rPr>
              <w:t>/s、5m</w:t>
            </w:r>
            <w:r>
              <w:rPr>
                <w:rFonts w:hint="eastAsia"/>
                <w:sz w:val="24"/>
                <w:szCs w:val="24"/>
                <w:vertAlign w:val="superscript"/>
              </w:rPr>
              <w:t>3</w:t>
            </w:r>
            <w:r>
              <w:rPr>
                <w:rFonts w:hint="eastAsia"/>
                <w:sz w:val="24"/>
                <w:szCs w:val="24"/>
              </w:rPr>
              <w:t>/s、10m</w:t>
            </w:r>
            <w:r>
              <w:rPr>
                <w:rFonts w:hint="eastAsia"/>
                <w:sz w:val="24"/>
                <w:szCs w:val="24"/>
                <w:vertAlign w:val="superscript"/>
              </w:rPr>
              <w:t>3</w:t>
            </w:r>
            <w:r>
              <w:rPr>
                <w:rFonts w:hint="eastAsia"/>
                <w:sz w:val="24"/>
                <w:szCs w:val="24"/>
              </w:rPr>
              <w:t xml:space="preserve">/s，铺设雨水管道管径为300～2000mm，总长度为132.8km。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（3）供电规划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华东一级电网，双回路不间断供电，变电站五座，总容量为64万KVA。已建 2 个 110KV、35KV的变电站；在建1个110KV的变电站。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（4）供热及燃气规划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依托南京华能热电，开发区基本实现集中供热，供热管道全长58km。 区内建立分散的液化气储罐站，布置于开发区的边缘地带，分区分片供应，由液化气管网送至用户。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因此，从南京经济技术开发区总体布局和基础设施规划方面，本项目符合其环保要求。 </w:t>
            </w:r>
          </w:p>
          <w:p>
            <w:pPr>
              <w:adjustRightInd w:val="0"/>
              <w:snapToGrid w:val="0"/>
              <w:spacing w:line="360" w:lineRule="auto"/>
              <w:ind w:firstLine="480" w:firstLineChars="200"/>
              <w:jc w:val="left"/>
              <w:rPr>
                <w:rFonts w:hint="eastAsia"/>
                <w:sz w:val="24"/>
                <w:szCs w:val="24"/>
              </w:rPr>
            </w:pPr>
            <w:r>
              <w:rPr>
                <w:rFonts w:hint="eastAsia"/>
                <w:sz w:val="24"/>
                <w:szCs w:val="24"/>
              </w:rPr>
              <w:t xml:space="preserve">根据南京经济技术开发区用地规划，本项目用地所处位置为工业用地区域。项目所在区域周围目前没有饮用水源保护区、文物古迹等，符合开发区产业定位，选址符合南京市城市发展用地规划和南京经济技术开发区用地规划。 </w:t>
            </w: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rFonts w:hint="eastAsia"/>
                <w:sz w:val="24"/>
                <w:szCs w:val="24"/>
              </w:rPr>
            </w:pPr>
          </w:p>
          <w:p>
            <w:pPr>
              <w:adjustRightInd w:val="0"/>
              <w:snapToGrid w:val="0"/>
              <w:spacing w:line="360" w:lineRule="auto"/>
              <w:ind w:firstLine="480" w:firstLineChars="200"/>
              <w:jc w:val="left"/>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55" w:hRule="atLeast"/>
        </w:trPr>
        <w:tc>
          <w:tcPr>
            <w:tcW w:w="9322" w:type="dxa"/>
            <w:gridSpan w:val="2"/>
            <w:tcBorders>
              <w:bottom w:val="single" w:color="auto" w:sz="2" w:space="0"/>
            </w:tcBorders>
            <w:vAlign w:val="top"/>
          </w:tcPr>
          <w:p>
            <w:pPr>
              <w:pStyle w:val="14"/>
              <w:rPr>
                <w:rFonts w:hint="eastAsia"/>
                <w:sz w:val="28"/>
                <w:szCs w:val="28"/>
              </w:rPr>
            </w:pPr>
            <w:r>
              <w:rPr>
                <w:sz w:val="28"/>
                <w:szCs w:val="28"/>
              </w:rPr>
              <w:t>三、环境质量状况</w:t>
            </w:r>
          </w:p>
          <w:p>
            <w:pPr>
              <w:pStyle w:val="14"/>
              <w:rPr>
                <w:rFonts w:ascii="Times New Roman"/>
                <w:sz w:val="28"/>
                <w:szCs w:val="28"/>
              </w:rPr>
            </w:pPr>
            <w:r>
              <w:rPr>
                <w:rFonts w:ascii="Times New Roman"/>
                <w:sz w:val="28"/>
                <w:szCs w:val="28"/>
              </w:rPr>
              <w:t>建设项目所在地区域环境质量现状及主要环境问题（环境空气、地面水、地下水、声环境、辐身环境、生态环境等）：</w:t>
            </w:r>
          </w:p>
          <w:p>
            <w:pPr>
              <w:spacing w:line="360" w:lineRule="auto"/>
              <w:rPr>
                <w:rFonts w:hint="eastAsia" w:ascii="宋体" w:hAnsi="宋体"/>
                <w:b/>
                <w:color w:val="000000"/>
                <w:sz w:val="24"/>
              </w:rPr>
            </w:pPr>
            <w:r>
              <w:rPr>
                <w:rFonts w:hint="eastAsia" w:ascii="宋体" w:hAnsi="宋体"/>
                <w:b/>
                <w:color w:val="000000"/>
                <w:sz w:val="24"/>
              </w:rPr>
              <w:t>根据《2014年南京市环境质量公报》：</w:t>
            </w:r>
          </w:p>
          <w:p>
            <w:pPr>
              <w:spacing w:line="360" w:lineRule="auto"/>
              <w:ind w:firstLine="482" w:firstLineChars="200"/>
              <w:rPr>
                <w:rFonts w:hint="eastAsia" w:ascii="宋体" w:hAnsi="宋体"/>
                <w:b/>
                <w:color w:val="000000"/>
                <w:sz w:val="24"/>
              </w:rPr>
            </w:pPr>
            <w:r>
              <w:rPr>
                <w:rFonts w:hint="eastAsia" w:ascii="宋体" w:hAnsi="宋体"/>
                <w:b/>
                <w:color w:val="000000"/>
                <w:sz w:val="24"/>
              </w:rPr>
              <w:t>大气环境质量现状：</w:t>
            </w:r>
          </w:p>
          <w:p>
            <w:pPr>
              <w:spacing w:line="440" w:lineRule="exact"/>
              <w:ind w:firstLine="480" w:firstLineChars="200"/>
              <w:rPr>
                <w:kern w:val="0"/>
                <w:sz w:val="24"/>
              </w:rPr>
            </w:pPr>
            <w:r>
              <w:rPr>
                <w:rFonts w:hint="eastAsia"/>
                <w:kern w:val="0"/>
                <w:sz w:val="24"/>
              </w:rPr>
              <w:t>2014年，南京市建成区环境空气质量达到二级标准的天数为190天，全年各项污染物监测指标如下：PM</w:t>
            </w:r>
            <w:r>
              <w:rPr>
                <w:rFonts w:hint="eastAsia"/>
                <w:kern w:val="0"/>
                <w:sz w:val="24"/>
                <w:vertAlign w:val="subscript"/>
              </w:rPr>
              <w:t>2.5</w:t>
            </w:r>
            <w:r>
              <w:rPr>
                <w:rFonts w:hint="eastAsia"/>
                <w:kern w:val="0"/>
                <w:sz w:val="24"/>
              </w:rPr>
              <w:t>年均值为73.8ug/m</w:t>
            </w:r>
            <w:r>
              <w:rPr>
                <w:rFonts w:hint="eastAsia"/>
                <w:kern w:val="0"/>
                <w:sz w:val="24"/>
                <w:vertAlign w:val="superscript"/>
              </w:rPr>
              <w:t>3</w:t>
            </w:r>
            <w:r>
              <w:rPr>
                <w:rFonts w:hint="eastAsia"/>
                <w:kern w:val="0"/>
                <w:sz w:val="24"/>
              </w:rPr>
              <w:t>，超标1.11倍，同比下降5.38%；PM</w:t>
            </w:r>
            <w:r>
              <w:rPr>
                <w:rFonts w:hint="eastAsia"/>
                <w:kern w:val="0"/>
                <w:sz w:val="24"/>
                <w:vertAlign w:val="subscript"/>
              </w:rPr>
              <w:t>10</w:t>
            </w:r>
            <w:r>
              <w:rPr>
                <w:rFonts w:hint="eastAsia"/>
                <w:kern w:val="0"/>
                <w:sz w:val="24"/>
              </w:rPr>
              <w:t>年均值为123ug/m</w:t>
            </w:r>
            <w:r>
              <w:rPr>
                <w:rFonts w:hint="eastAsia"/>
                <w:kern w:val="0"/>
                <w:sz w:val="24"/>
                <w:vertAlign w:val="superscript"/>
              </w:rPr>
              <w:t>3</w:t>
            </w:r>
            <w:r>
              <w:rPr>
                <w:rFonts w:hint="eastAsia"/>
                <w:kern w:val="0"/>
                <w:sz w:val="24"/>
              </w:rPr>
              <w:t>，超标0.76倍，同比下降10.2%；SO</w:t>
            </w:r>
            <w:r>
              <w:rPr>
                <w:rFonts w:hint="eastAsia"/>
                <w:kern w:val="0"/>
                <w:sz w:val="24"/>
                <w:vertAlign w:val="subscript"/>
              </w:rPr>
              <w:t>2</w:t>
            </w:r>
            <w:r>
              <w:rPr>
                <w:rFonts w:hint="eastAsia"/>
                <w:kern w:val="0"/>
                <w:sz w:val="24"/>
              </w:rPr>
              <w:t>年均值25ug/m</w:t>
            </w:r>
            <w:r>
              <w:rPr>
                <w:rFonts w:hint="eastAsia"/>
                <w:kern w:val="0"/>
                <w:sz w:val="24"/>
                <w:vertAlign w:val="superscript"/>
              </w:rPr>
              <w:t>3</w:t>
            </w:r>
            <w:r>
              <w:rPr>
                <w:rFonts w:hint="eastAsia"/>
                <w:kern w:val="0"/>
                <w:sz w:val="24"/>
              </w:rPr>
              <w:t>，达标，同比下降32.4%；NO</w:t>
            </w:r>
            <w:r>
              <w:rPr>
                <w:rFonts w:hint="eastAsia"/>
                <w:kern w:val="0"/>
                <w:sz w:val="24"/>
                <w:vertAlign w:val="subscript"/>
              </w:rPr>
              <w:t>2</w:t>
            </w:r>
            <w:r>
              <w:rPr>
                <w:rFonts w:hint="eastAsia"/>
                <w:kern w:val="0"/>
                <w:sz w:val="24"/>
              </w:rPr>
              <w:t>年均值为54ug/m</w:t>
            </w:r>
            <w:r>
              <w:rPr>
                <w:rFonts w:hint="eastAsia"/>
                <w:kern w:val="0"/>
                <w:sz w:val="24"/>
                <w:vertAlign w:val="superscript"/>
              </w:rPr>
              <w:t>3</w:t>
            </w:r>
            <w:r>
              <w:rPr>
                <w:rFonts w:hint="eastAsia"/>
                <w:kern w:val="0"/>
                <w:sz w:val="24"/>
              </w:rPr>
              <w:t>，超标0.35倍，同比下降1.8%</w:t>
            </w:r>
            <w:r>
              <w:rPr>
                <w:rFonts w:hint="eastAsia"/>
                <w:sz w:val="24"/>
                <w:szCs w:val="24"/>
              </w:rPr>
              <w:t>。</w:t>
            </w:r>
          </w:p>
          <w:p>
            <w:pPr>
              <w:spacing w:line="440" w:lineRule="exact"/>
              <w:ind w:firstLine="482" w:firstLineChars="200"/>
              <w:rPr>
                <w:b/>
                <w:bCs/>
                <w:kern w:val="0"/>
                <w:sz w:val="24"/>
              </w:rPr>
            </w:pPr>
            <w:r>
              <w:rPr>
                <w:b/>
                <w:bCs/>
                <w:kern w:val="0"/>
                <w:sz w:val="24"/>
              </w:rPr>
              <w:t>地表水环境质量现状：</w:t>
            </w:r>
          </w:p>
          <w:p>
            <w:pPr>
              <w:spacing w:line="440" w:lineRule="exact"/>
              <w:ind w:firstLine="480" w:firstLineChars="200"/>
              <w:rPr>
                <w:kern w:val="0"/>
                <w:sz w:val="24"/>
              </w:rPr>
            </w:pPr>
            <w:r>
              <w:rPr>
                <w:rFonts w:hint="eastAsia"/>
                <w:kern w:val="0"/>
                <w:sz w:val="24"/>
              </w:rPr>
              <w:t>南京长江段水质与上年基本持平，除总磷超标0.43倍以外，其他指标均达到</w:t>
            </w:r>
            <w:r>
              <w:rPr>
                <w:kern w:val="0"/>
                <w:sz w:val="24"/>
              </w:rPr>
              <w:fldChar w:fldCharType="begin"/>
            </w:r>
            <w:r>
              <w:rPr>
                <w:kern w:val="0"/>
                <w:sz w:val="24"/>
              </w:rPr>
              <w:instrText xml:space="preserve"> </w:instrText>
            </w:r>
            <w:r>
              <w:rPr>
                <w:rFonts w:hint="eastAsia"/>
                <w:kern w:val="0"/>
                <w:sz w:val="24"/>
              </w:rPr>
              <w:instrText xml:space="preserve">= 2 \* ROMAN</w:instrText>
            </w:r>
            <w:r>
              <w:rPr>
                <w:kern w:val="0"/>
                <w:sz w:val="24"/>
              </w:rPr>
              <w:instrText xml:space="preserve"> </w:instrText>
            </w:r>
            <w:r>
              <w:rPr>
                <w:kern w:val="0"/>
                <w:sz w:val="24"/>
              </w:rPr>
              <w:fldChar w:fldCharType="separate"/>
            </w:r>
            <w:r>
              <w:rPr>
                <w:kern w:val="0"/>
                <w:sz w:val="24"/>
                <w:lang w:val="zh-CN" w:eastAsia="zh-CN"/>
              </w:rPr>
              <w:t>II</w:t>
            </w:r>
            <w:r>
              <w:rPr>
                <w:kern w:val="0"/>
                <w:sz w:val="24"/>
              </w:rPr>
              <w:fldChar w:fldCharType="end"/>
            </w:r>
            <w:r>
              <w:rPr>
                <w:rFonts w:hint="eastAsia"/>
                <w:kern w:val="0"/>
                <w:sz w:val="24"/>
              </w:rPr>
              <w:t>类水质标准，兴武沟水质可达到《地表水环境质量标准》（GB3838-2002）中的Ⅴ类水质标准。</w:t>
            </w:r>
          </w:p>
          <w:p>
            <w:pPr>
              <w:spacing w:line="440" w:lineRule="exact"/>
              <w:ind w:firstLine="482" w:firstLineChars="200"/>
              <w:rPr>
                <w:b/>
                <w:bCs/>
                <w:kern w:val="0"/>
                <w:sz w:val="24"/>
              </w:rPr>
            </w:pPr>
            <w:r>
              <w:rPr>
                <w:b/>
                <w:bCs/>
                <w:kern w:val="0"/>
                <w:sz w:val="24"/>
              </w:rPr>
              <w:t>环境噪声现状：</w:t>
            </w:r>
          </w:p>
          <w:p>
            <w:pPr>
              <w:spacing w:line="440" w:lineRule="exact"/>
              <w:ind w:firstLine="480" w:firstLineChars="200"/>
              <w:rPr>
                <w:kern w:val="0"/>
                <w:sz w:val="24"/>
              </w:rPr>
            </w:pPr>
            <w:r>
              <w:rPr>
                <w:rFonts w:hint="eastAsia"/>
                <w:kern w:val="0"/>
                <w:sz w:val="24"/>
              </w:rPr>
              <w:t>根据《2014年南京环境质量公报》：</w:t>
            </w:r>
            <w:r>
              <w:rPr>
                <w:kern w:val="0"/>
                <w:sz w:val="24"/>
              </w:rPr>
              <w:t>城区区域环境噪声均值为5</w:t>
            </w:r>
            <w:r>
              <w:rPr>
                <w:rFonts w:hint="eastAsia"/>
                <w:kern w:val="0"/>
                <w:sz w:val="24"/>
              </w:rPr>
              <w:t>3.8</w:t>
            </w:r>
            <w:r>
              <w:rPr>
                <w:kern w:val="0"/>
                <w:sz w:val="24"/>
              </w:rPr>
              <w:t>分贝，同比下降</w:t>
            </w:r>
            <w:r>
              <w:rPr>
                <w:rFonts w:hint="eastAsia"/>
                <w:kern w:val="0"/>
                <w:sz w:val="24"/>
              </w:rPr>
              <w:t>0.9</w:t>
            </w:r>
            <w:r>
              <w:rPr>
                <w:kern w:val="0"/>
                <w:sz w:val="24"/>
              </w:rPr>
              <w:t>分贝</w:t>
            </w:r>
            <w:r>
              <w:rPr>
                <w:rFonts w:hint="eastAsia"/>
                <w:kern w:val="0"/>
                <w:sz w:val="24"/>
              </w:rPr>
              <w:t>。项目所在地声环境质量较好。</w:t>
            </w:r>
          </w:p>
          <w:p>
            <w:pPr>
              <w:spacing w:line="440" w:lineRule="exact"/>
              <w:ind w:firstLine="480" w:firstLineChars="200"/>
              <w:rPr>
                <w:rFonts w:hint="eastAsia"/>
                <w:sz w:val="24"/>
                <w:szCs w:val="24"/>
              </w:rPr>
            </w:pPr>
          </w:p>
          <w:p>
            <w:pPr>
              <w:spacing w:line="440" w:lineRule="exact"/>
              <w:ind w:firstLine="480" w:firstLineChars="200"/>
              <w:rPr>
                <w:rFonts w:hint="eastAsia"/>
                <w:sz w:val="24"/>
                <w:szCs w:val="24"/>
              </w:rPr>
            </w:pPr>
          </w:p>
          <w:p>
            <w:pPr>
              <w:spacing w:line="440" w:lineRule="exact"/>
              <w:ind w:firstLine="480" w:firstLineChars="200"/>
              <w:rPr>
                <w:rFonts w:hint="eastAsia"/>
                <w:sz w:val="24"/>
                <w:szCs w:val="24"/>
              </w:rPr>
            </w:pPr>
          </w:p>
          <w:p>
            <w:pPr>
              <w:spacing w:line="440" w:lineRule="exact"/>
              <w:ind w:firstLine="480" w:firstLineChars="200"/>
              <w:rPr>
                <w:rFonts w:hint="eastAsia"/>
                <w:sz w:val="24"/>
                <w:szCs w:val="24"/>
              </w:rPr>
            </w:pPr>
          </w:p>
          <w:p>
            <w:pPr>
              <w:spacing w:line="440" w:lineRule="exact"/>
              <w:ind w:firstLine="480" w:firstLineChars="200"/>
              <w:rPr>
                <w:rFonts w:hint="eastAsia"/>
                <w:sz w:val="24"/>
                <w:szCs w:val="24"/>
              </w:rPr>
            </w:pPr>
          </w:p>
          <w:p>
            <w:pPr>
              <w:spacing w:line="440" w:lineRule="exact"/>
              <w:rPr>
                <w:rFonts w:hint="eastAsia"/>
                <w:sz w:val="24"/>
                <w:szCs w:val="24"/>
              </w:rPr>
            </w:pPr>
          </w:p>
          <w:p>
            <w:pPr>
              <w:spacing w:line="440" w:lineRule="exact"/>
              <w:rPr>
                <w:rFonts w:hint="eastAsia"/>
                <w:sz w:val="24"/>
                <w:szCs w:val="24"/>
              </w:rPr>
            </w:pPr>
          </w:p>
          <w:p>
            <w:pPr>
              <w:spacing w:line="440" w:lineRule="exact"/>
              <w:rPr>
                <w:rFonts w:hint="eastAsia"/>
                <w:sz w:val="24"/>
                <w:szCs w:val="24"/>
              </w:rPr>
            </w:pPr>
          </w:p>
          <w:p>
            <w:pPr>
              <w:spacing w:line="440" w:lineRule="exact"/>
              <w:rPr>
                <w:rFonts w:hint="eastAsia"/>
                <w:sz w:val="24"/>
                <w:szCs w:val="24"/>
              </w:rPr>
            </w:pPr>
          </w:p>
          <w:p>
            <w:pPr>
              <w:spacing w:line="440" w:lineRule="exact"/>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06" w:hRule="atLeast"/>
        </w:trPr>
        <w:tc>
          <w:tcPr>
            <w:tcW w:w="9322" w:type="dxa"/>
            <w:gridSpan w:val="2"/>
            <w:tcBorders>
              <w:top w:val="single" w:color="auto" w:sz="2" w:space="0"/>
            </w:tcBorders>
            <w:vAlign w:val="top"/>
          </w:tcPr>
          <w:p>
            <w:pPr>
              <w:spacing w:line="480" w:lineRule="exact"/>
              <w:rPr>
                <w:rFonts w:hint="eastAsia"/>
                <w:b/>
                <w:sz w:val="24"/>
                <w:szCs w:val="24"/>
              </w:rPr>
            </w:pPr>
            <w:r>
              <w:rPr>
                <w:b/>
                <w:sz w:val="24"/>
                <w:szCs w:val="24"/>
              </w:rPr>
              <w:t>主要环境保护目标（列出名单及保护级别）</w:t>
            </w:r>
          </w:p>
          <w:p>
            <w:pPr>
              <w:spacing w:line="440" w:lineRule="exact"/>
              <w:ind w:firstLine="480" w:firstLineChars="200"/>
              <w:rPr>
                <w:sz w:val="24"/>
              </w:rPr>
            </w:pPr>
            <w:r>
              <w:rPr>
                <w:rFonts w:hint="eastAsia"/>
                <w:sz w:val="24"/>
              </w:rPr>
              <w:t>项目周边300米环境</w:t>
            </w:r>
            <w:r>
              <w:rPr>
                <w:rFonts w:hint="eastAsia"/>
                <w:sz w:val="24"/>
                <w:lang w:val="en-US" w:eastAsia="zh-CN"/>
              </w:rPr>
              <w:t>无环境敏感保护目标，具体周边</w:t>
            </w:r>
            <w:r>
              <w:rPr>
                <w:rFonts w:hint="eastAsia"/>
                <w:sz w:val="24"/>
              </w:rPr>
              <w:t>概况图见</w:t>
            </w:r>
            <w:r>
              <w:rPr>
                <w:sz w:val="24"/>
              </w:rPr>
              <w:t>附图</w:t>
            </w:r>
            <w:r>
              <w:rPr>
                <w:rFonts w:hint="eastAsia"/>
                <w:sz w:val="24"/>
              </w:rPr>
              <w:t>2，项目300米范围内环境敏感点具体见表11</w:t>
            </w:r>
            <w:r>
              <w:rPr>
                <w:sz w:val="24"/>
              </w:rPr>
              <w:t>。</w:t>
            </w:r>
          </w:p>
          <w:p>
            <w:pPr>
              <w:spacing w:before="142" w:beforeLines="50"/>
              <w:jc w:val="center"/>
              <w:rPr>
                <w:b/>
                <w:sz w:val="24"/>
                <w:szCs w:val="24"/>
              </w:rPr>
            </w:pPr>
            <w:r>
              <w:rPr>
                <w:sz w:val="24"/>
                <w:szCs w:val="24"/>
              </w:rPr>
              <w:t>表</w:t>
            </w:r>
            <w:r>
              <w:rPr>
                <w:rFonts w:hint="eastAsia"/>
                <w:sz w:val="24"/>
                <w:szCs w:val="24"/>
              </w:rPr>
              <w:t xml:space="preserve">11 </w:t>
            </w:r>
            <w:r>
              <w:rPr>
                <w:sz w:val="24"/>
                <w:szCs w:val="24"/>
              </w:rPr>
              <w:t>主要环境保护目标</w:t>
            </w:r>
          </w:p>
          <w:tbl>
            <w:tblPr>
              <w:tblStyle w:val="34"/>
              <w:tblW w:w="87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297"/>
              <w:gridCol w:w="885"/>
              <w:gridCol w:w="1193"/>
              <w:gridCol w:w="1736"/>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jc w:val="center"/>
              </w:trPr>
              <w:tc>
                <w:tcPr>
                  <w:tcW w:w="947" w:type="dxa"/>
                  <w:vAlign w:val="center"/>
                </w:tcPr>
                <w:p>
                  <w:pPr>
                    <w:snapToGrid w:val="0"/>
                    <w:jc w:val="center"/>
                    <w:rPr>
                      <w:sz w:val="21"/>
                      <w:szCs w:val="21"/>
                    </w:rPr>
                  </w:pPr>
                  <w:r>
                    <w:rPr>
                      <w:sz w:val="21"/>
                      <w:szCs w:val="21"/>
                    </w:rPr>
                    <w:t>环境</w:t>
                  </w:r>
                </w:p>
                <w:p>
                  <w:pPr>
                    <w:snapToGrid w:val="0"/>
                    <w:jc w:val="center"/>
                    <w:rPr>
                      <w:sz w:val="21"/>
                      <w:szCs w:val="21"/>
                    </w:rPr>
                  </w:pPr>
                  <w:r>
                    <w:rPr>
                      <w:sz w:val="21"/>
                      <w:szCs w:val="21"/>
                    </w:rPr>
                    <w:t>要素</w:t>
                  </w:r>
                </w:p>
              </w:tc>
              <w:tc>
                <w:tcPr>
                  <w:tcW w:w="1297" w:type="dxa"/>
                  <w:vAlign w:val="center"/>
                </w:tcPr>
                <w:p>
                  <w:pPr>
                    <w:snapToGrid w:val="0"/>
                    <w:jc w:val="center"/>
                    <w:rPr>
                      <w:sz w:val="21"/>
                      <w:szCs w:val="21"/>
                    </w:rPr>
                  </w:pPr>
                  <w:r>
                    <w:rPr>
                      <w:sz w:val="21"/>
                      <w:szCs w:val="21"/>
                    </w:rPr>
                    <w:t>环境保护</w:t>
                  </w:r>
                </w:p>
                <w:p>
                  <w:pPr>
                    <w:snapToGrid w:val="0"/>
                    <w:jc w:val="center"/>
                    <w:rPr>
                      <w:sz w:val="21"/>
                      <w:szCs w:val="21"/>
                    </w:rPr>
                  </w:pPr>
                  <w:r>
                    <w:rPr>
                      <w:sz w:val="21"/>
                      <w:szCs w:val="21"/>
                    </w:rPr>
                    <w:t>对象名称</w:t>
                  </w:r>
                </w:p>
              </w:tc>
              <w:tc>
                <w:tcPr>
                  <w:tcW w:w="885" w:type="dxa"/>
                  <w:vAlign w:val="center"/>
                </w:tcPr>
                <w:p>
                  <w:pPr>
                    <w:snapToGrid w:val="0"/>
                    <w:jc w:val="center"/>
                    <w:rPr>
                      <w:sz w:val="21"/>
                      <w:szCs w:val="21"/>
                    </w:rPr>
                  </w:pPr>
                  <w:r>
                    <w:rPr>
                      <w:sz w:val="21"/>
                      <w:szCs w:val="21"/>
                    </w:rPr>
                    <w:t>方位</w:t>
                  </w:r>
                </w:p>
              </w:tc>
              <w:tc>
                <w:tcPr>
                  <w:tcW w:w="1193" w:type="dxa"/>
                  <w:vAlign w:val="center"/>
                </w:tcPr>
                <w:p>
                  <w:pPr>
                    <w:snapToGrid w:val="0"/>
                    <w:jc w:val="center"/>
                    <w:rPr>
                      <w:rFonts w:hint="eastAsia"/>
                      <w:sz w:val="21"/>
                      <w:szCs w:val="21"/>
                    </w:rPr>
                  </w:pPr>
                  <w:r>
                    <w:rPr>
                      <w:rFonts w:hint="eastAsia"/>
                      <w:sz w:val="21"/>
                      <w:szCs w:val="21"/>
                    </w:rPr>
                    <w:t>距项目边界最近</w:t>
                  </w:r>
                  <w:r>
                    <w:rPr>
                      <w:sz w:val="21"/>
                      <w:szCs w:val="21"/>
                    </w:rPr>
                    <w:t>距离</w:t>
                  </w:r>
                  <w:r>
                    <w:rPr>
                      <w:rFonts w:hint="eastAsia"/>
                      <w:sz w:val="21"/>
                      <w:szCs w:val="21"/>
                    </w:rPr>
                    <w:t>m</w:t>
                  </w:r>
                </w:p>
                <w:p>
                  <w:pPr>
                    <w:snapToGrid w:val="0"/>
                    <w:jc w:val="center"/>
                    <w:rPr>
                      <w:sz w:val="21"/>
                      <w:szCs w:val="21"/>
                    </w:rPr>
                  </w:pPr>
                </w:p>
              </w:tc>
              <w:tc>
                <w:tcPr>
                  <w:tcW w:w="1736" w:type="dxa"/>
                  <w:vAlign w:val="center"/>
                </w:tcPr>
                <w:p>
                  <w:pPr>
                    <w:snapToGrid w:val="0"/>
                    <w:jc w:val="center"/>
                    <w:rPr>
                      <w:sz w:val="21"/>
                      <w:szCs w:val="21"/>
                    </w:rPr>
                  </w:pPr>
                  <w:r>
                    <w:rPr>
                      <w:rFonts w:hint="eastAsia"/>
                      <w:sz w:val="21"/>
                      <w:szCs w:val="21"/>
                    </w:rPr>
                    <w:t>功能/</w:t>
                  </w:r>
                  <w:r>
                    <w:rPr>
                      <w:sz w:val="21"/>
                      <w:szCs w:val="21"/>
                    </w:rPr>
                    <w:t>规模</w:t>
                  </w:r>
                </w:p>
              </w:tc>
              <w:tc>
                <w:tcPr>
                  <w:tcW w:w="2643" w:type="dxa"/>
                  <w:vAlign w:val="center"/>
                </w:tcPr>
                <w:p>
                  <w:pPr>
                    <w:snapToGrid w:val="0"/>
                    <w:jc w:val="center"/>
                    <w:rPr>
                      <w:sz w:val="21"/>
                      <w:szCs w:val="21"/>
                    </w:rPr>
                  </w:pPr>
                  <w:r>
                    <w:rPr>
                      <w:sz w:val="21"/>
                      <w:szCs w:val="21"/>
                    </w:rPr>
                    <w:t>环境功能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47" w:type="dxa"/>
                  <w:vAlign w:val="center"/>
                </w:tcPr>
                <w:p>
                  <w:pPr>
                    <w:snapToGrid w:val="0"/>
                    <w:jc w:val="center"/>
                    <w:rPr>
                      <w:rFonts w:hint="eastAsia"/>
                      <w:sz w:val="21"/>
                      <w:szCs w:val="21"/>
                    </w:rPr>
                  </w:pPr>
                  <w:r>
                    <w:rPr>
                      <w:sz w:val="21"/>
                      <w:szCs w:val="21"/>
                    </w:rPr>
                    <w:t>空气</w:t>
                  </w:r>
                  <w:r>
                    <w:rPr>
                      <w:rFonts w:hint="eastAsia"/>
                      <w:sz w:val="21"/>
                      <w:szCs w:val="21"/>
                    </w:rPr>
                    <w:t>环境</w:t>
                  </w:r>
                </w:p>
              </w:tc>
              <w:tc>
                <w:tcPr>
                  <w:tcW w:w="1297" w:type="dxa"/>
                  <w:vAlign w:val="center"/>
                </w:tcPr>
                <w:p>
                  <w:pPr>
                    <w:snapToGrid w:val="0"/>
                    <w:jc w:val="center"/>
                    <w:rPr>
                      <w:rFonts w:hint="eastAsia" w:eastAsia="宋体"/>
                      <w:sz w:val="21"/>
                      <w:szCs w:val="21"/>
                      <w:lang w:val="en-US" w:eastAsia="zh-CN"/>
                    </w:rPr>
                  </w:pPr>
                  <w:r>
                    <w:rPr>
                      <w:rFonts w:hint="eastAsia"/>
                      <w:sz w:val="21"/>
                      <w:szCs w:val="21"/>
                      <w:lang w:val="en-US" w:eastAsia="zh-CN"/>
                    </w:rPr>
                    <w:t>/</w:t>
                  </w:r>
                </w:p>
              </w:tc>
              <w:tc>
                <w:tcPr>
                  <w:tcW w:w="885" w:type="dxa"/>
                  <w:vAlign w:val="center"/>
                </w:tcPr>
                <w:p>
                  <w:pPr>
                    <w:snapToGrid w:val="0"/>
                    <w:jc w:val="center"/>
                    <w:rPr>
                      <w:rFonts w:hint="eastAsia" w:eastAsia="宋体"/>
                      <w:sz w:val="21"/>
                      <w:szCs w:val="21"/>
                      <w:lang w:val="en-US" w:eastAsia="zh-CN"/>
                    </w:rPr>
                  </w:pPr>
                  <w:r>
                    <w:rPr>
                      <w:rFonts w:hint="eastAsia"/>
                      <w:sz w:val="21"/>
                      <w:szCs w:val="21"/>
                      <w:lang w:val="en-US" w:eastAsia="zh-CN"/>
                    </w:rPr>
                    <w:t>/</w:t>
                  </w:r>
                </w:p>
              </w:tc>
              <w:tc>
                <w:tcPr>
                  <w:tcW w:w="1193" w:type="dxa"/>
                  <w:vAlign w:val="center"/>
                </w:tcPr>
                <w:p>
                  <w:pPr>
                    <w:snapToGrid w:val="0"/>
                    <w:jc w:val="center"/>
                    <w:rPr>
                      <w:rFonts w:hint="eastAsia" w:eastAsia="宋体"/>
                      <w:sz w:val="21"/>
                      <w:szCs w:val="21"/>
                      <w:lang w:val="en-US" w:eastAsia="zh-CN"/>
                    </w:rPr>
                  </w:pPr>
                  <w:r>
                    <w:rPr>
                      <w:rFonts w:hint="eastAsia"/>
                      <w:sz w:val="21"/>
                      <w:szCs w:val="21"/>
                      <w:lang w:val="en-US" w:eastAsia="zh-CN"/>
                    </w:rPr>
                    <w:t>/</w:t>
                  </w:r>
                </w:p>
              </w:tc>
              <w:tc>
                <w:tcPr>
                  <w:tcW w:w="1736" w:type="dxa"/>
                  <w:vAlign w:val="center"/>
                </w:tcPr>
                <w:p>
                  <w:pPr>
                    <w:snapToGrid w:val="0"/>
                    <w:jc w:val="center"/>
                    <w:rPr>
                      <w:rFonts w:hint="eastAsia" w:eastAsia="宋体"/>
                      <w:sz w:val="21"/>
                      <w:szCs w:val="21"/>
                      <w:lang w:val="en-US" w:eastAsia="zh-CN"/>
                    </w:rPr>
                  </w:pPr>
                  <w:r>
                    <w:rPr>
                      <w:rFonts w:hint="eastAsia"/>
                      <w:sz w:val="21"/>
                      <w:szCs w:val="21"/>
                      <w:lang w:val="en-US" w:eastAsia="zh-CN"/>
                    </w:rPr>
                    <w:t>/</w:t>
                  </w:r>
                </w:p>
              </w:tc>
              <w:tc>
                <w:tcPr>
                  <w:tcW w:w="2643" w:type="dxa"/>
                  <w:vAlign w:val="center"/>
                </w:tcPr>
                <w:p>
                  <w:pPr>
                    <w:snapToGrid w:val="0"/>
                    <w:jc w:val="center"/>
                    <w:rPr>
                      <w:sz w:val="21"/>
                      <w:szCs w:val="21"/>
                    </w:rPr>
                  </w:pPr>
                  <w:r>
                    <w:rPr>
                      <w:sz w:val="21"/>
                      <w:szCs w:val="21"/>
                    </w:rPr>
                    <w:t>《环境空气质量标准》</w:t>
                  </w:r>
                </w:p>
                <w:p>
                  <w:pPr>
                    <w:snapToGrid w:val="0"/>
                    <w:jc w:val="center"/>
                    <w:rPr>
                      <w:sz w:val="21"/>
                      <w:szCs w:val="21"/>
                    </w:rPr>
                  </w:pPr>
                  <w:r>
                    <w:rPr>
                      <w:sz w:val="21"/>
                      <w:szCs w:val="21"/>
                    </w:rPr>
                    <w:t>（GB3095-</w:t>
                  </w:r>
                  <w:r>
                    <w:rPr>
                      <w:rFonts w:hint="eastAsia"/>
                      <w:sz w:val="21"/>
                      <w:szCs w:val="21"/>
                    </w:rPr>
                    <w:t>2012</w:t>
                  </w:r>
                  <w:r>
                    <w:rPr>
                      <w:sz w:val="21"/>
                      <w:szCs w:val="21"/>
                    </w:rPr>
                    <w:t>）二级标准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947" w:type="dxa"/>
                  <w:vAlign w:val="center"/>
                </w:tcPr>
                <w:p>
                  <w:pPr>
                    <w:snapToGrid w:val="0"/>
                    <w:jc w:val="center"/>
                    <w:rPr>
                      <w:sz w:val="21"/>
                      <w:szCs w:val="21"/>
                    </w:rPr>
                  </w:pPr>
                  <w:r>
                    <w:rPr>
                      <w:sz w:val="21"/>
                      <w:szCs w:val="21"/>
                    </w:rPr>
                    <w:t>水环境</w:t>
                  </w:r>
                </w:p>
              </w:tc>
              <w:tc>
                <w:tcPr>
                  <w:tcW w:w="1297" w:type="dxa"/>
                  <w:vAlign w:val="center"/>
                </w:tcPr>
                <w:p>
                  <w:pPr>
                    <w:snapToGrid w:val="0"/>
                    <w:jc w:val="center"/>
                    <w:rPr>
                      <w:sz w:val="21"/>
                      <w:szCs w:val="21"/>
                    </w:rPr>
                  </w:pPr>
                  <w:r>
                    <w:rPr>
                      <w:rFonts w:hint="eastAsia"/>
                      <w:sz w:val="21"/>
                      <w:szCs w:val="21"/>
                    </w:rPr>
                    <w:t>兴武沟</w:t>
                  </w:r>
                </w:p>
              </w:tc>
              <w:tc>
                <w:tcPr>
                  <w:tcW w:w="885" w:type="dxa"/>
                  <w:vAlign w:val="center"/>
                </w:tcPr>
                <w:p>
                  <w:pPr>
                    <w:snapToGrid w:val="0"/>
                    <w:jc w:val="center"/>
                    <w:rPr>
                      <w:rFonts w:hint="eastAsia"/>
                      <w:sz w:val="21"/>
                      <w:szCs w:val="21"/>
                    </w:rPr>
                  </w:pPr>
                  <w:r>
                    <w:rPr>
                      <w:rFonts w:hint="eastAsia"/>
                      <w:sz w:val="21"/>
                      <w:szCs w:val="21"/>
                    </w:rPr>
                    <w:t>WN</w:t>
                  </w:r>
                </w:p>
              </w:tc>
              <w:tc>
                <w:tcPr>
                  <w:tcW w:w="1193" w:type="dxa"/>
                  <w:vAlign w:val="center"/>
                </w:tcPr>
                <w:p>
                  <w:pPr>
                    <w:snapToGrid w:val="0"/>
                    <w:jc w:val="center"/>
                    <w:rPr>
                      <w:rFonts w:hint="eastAsia" w:eastAsia="宋体"/>
                      <w:sz w:val="21"/>
                      <w:szCs w:val="21"/>
                      <w:lang w:eastAsia="zh-CN"/>
                    </w:rPr>
                  </w:pPr>
                  <w:r>
                    <w:rPr>
                      <w:rFonts w:hint="eastAsia"/>
                      <w:sz w:val="21"/>
                      <w:szCs w:val="21"/>
                      <w:lang w:val="en-US" w:eastAsia="zh-CN"/>
                    </w:rPr>
                    <w:t>5000</w:t>
                  </w:r>
                </w:p>
              </w:tc>
              <w:tc>
                <w:tcPr>
                  <w:tcW w:w="1736" w:type="dxa"/>
                  <w:vAlign w:val="center"/>
                </w:tcPr>
                <w:p>
                  <w:pPr>
                    <w:snapToGrid w:val="0"/>
                    <w:jc w:val="center"/>
                    <w:rPr>
                      <w:sz w:val="21"/>
                      <w:szCs w:val="21"/>
                    </w:rPr>
                  </w:pPr>
                  <w:r>
                    <w:rPr>
                      <w:rFonts w:hint="eastAsia"/>
                      <w:sz w:val="21"/>
                      <w:szCs w:val="21"/>
                      <w:lang w:val="en-US" w:eastAsia="zh-CN"/>
                    </w:rPr>
                    <w:t>/</w:t>
                  </w:r>
                </w:p>
              </w:tc>
              <w:tc>
                <w:tcPr>
                  <w:tcW w:w="2643" w:type="dxa"/>
                  <w:vAlign w:val="center"/>
                </w:tcPr>
                <w:p>
                  <w:pPr>
                    <w:snapToGrid w:val="0"/>
                    <w:jc w:val="center"/>
                    <w:rPr>
                      <w:sz w:val="21"/>
                      <w:szCs w:val="21"/>
                    </w:rPr>
                  </w:pPr>
                  <w:r>
                    <w:rPr>
                      <w:rFonts w:hint="eastAsia"/>
                      <w:sz w:val="21"/>
                      <w:szCs w:val="21"/>
                    </w:rPr>
                    <w:t>《地表水环境质量标准》（GB3838－2002）V类标准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947" w:type="dxa"/>
                  <w:vAlign w:val="center"/>
                </w:tcPr>
                <w:p>
                  <w:pPr>
                    <w:snapToGrid w:val="0"/>
                    <w:jc w:val="center"/>
                    <w:rPr>
                      <w:sz w:val="21"/>
                      <w:szCs w:val="21"/>
                    </w:rPr>
                  </w:pPr>
                  <w:r>
                    <w:rPr>
                      <w:sz w:val="21"/>
                      <w:szCs w:val="21"/>
                    </w:rPr>
                    <w:t>声</w:t>
                  </w:r>
                  <w:r>
                    <w:rPr>
                      <w:rFonts w:hint="eastAsia"/>
                      <w:sz w:val="21"/>
                      <w:szCs w:val="21"/>
                    </w:rPr>
                    <w:t>环</w:t>
                  </w:r>
                  <w:r>
                    <w:rPr>
                      <w:sz w:val="21"/>
                      <w:szCs w:val="21"/>
                    </w:rPr>
                    <w:t>境</w:t>
                  </w:r>
                </w:p>
              </w:tc>
              <w:tc>
                <w:tcPr>
                  <w:tcW w:w="1297" w:type="dxa"/>
                  <w:vAlign w:val="center"/>
                </w:tcPr>
                <w:p>
                  <w:pPr>
                    <w:snapToGrid w:val="0"/>
                    <w:jc w:val="center"/>
                    <w:rPr>
                      <w:rFonts w:hint="eastAsia" w:eastAsia="宋体"/>
                      <w:sz w:val="21"/>
                      <w:szCs w:val="21"/>
                      <w:lang w:val="en-US" w:eastAsia="zh-CN"/>
                    </w:rPr>
                  </w:pPr>
                  <w:r>
                    <w:rPr>
                      <w:rFonts w:hint="eastAsia"/>
                      <w:sz w:val="21"/>
                      <w:szCs w:val="21"/>
                      <w:lang w:val="en-US" w:eastAsia="zh-CN"/>
                    </w:rPr>
                    <w:t>/</w:t>
                  </w:r>
                </w:p>
              </w:tc>
              <w:tc>
                <w:tcPr>
                  <w:tcW w:w="885" w:type="dxa"/>
                  <w:vAlign w:val="center"/>
                </w:tcPr>
                <w:p>
                  <w:pPr>
                    <w:snapToGrid w:val="0"/>
                    <w:jc w:val="center"/>
                    <w:rPr>
                      <w:rFonts w:hint="eastAsia" w:eastAsia="宋体"/>
                      <w:sz w:val="21"/>
                      <w:szCs w:val="21"/>
                      <w:lang w:val="en-US" w:eastAsia="zh-CN"/>
                    </w:rPr>
                  </w:pPr>
                  <w:r>
                    <w:rPr>
                      <w:rFonts w:hint="eastAsia"/>
                      <w:sz w:val="21"/>
                      <w:szCs w:val="21"/>
                      <w:lang w:val="en-US" w:eastAsia="zh-CN"/>
                    </w:rPr>
                    <w:t>周边</w:t>
                  </w:r>
                </w:p>
              </w:tc>
              <w:tc>
                <w:tcPr>
                  <w:tcW w:w="1193" w:type="dxa"/>
                  <w:vAlign w:val="center"/>
                </w:tcPr>
                <w:p>
                  <w:pPr>
                    <w:snapToGrid w:val="0"/>
                    <w:jc w:val="center"/>
                    <w:rPr>
                      <w:rFonts w:hint="eastAsia" w:eastAsia="宋体"/>
                      <w:sz w:val="21"/>
                      <w:szCs w:val="21"/>
                      <w:lang w:val="en-US" w:eastAsia="zh-CN"/>
                    </w:rPr>
                  </w:pPr>
                  <w:r>
                    <w:rPr>
                      <w:rFonts w:hint="eastAsia"/>
                      <w:sz w:val="21"/>
                      <w:szCs w:val="21"/>
                      <w:lang w:val="en-US" w:eastAsia="zh-CN"/>
                    </w:rPr>
                    <w:t>1~200m</w:t>
                  </w:r>
                </w:p>
              </w:tc>
              <w:tc>
                <w:tcPr>
                  <w:tcW w:w="1736" w:type="dxa"/>
                  <w:vAlign w:val="center"/>
                </w:tcPr>
                <w:p>
                  <w:pPr>
                    <w:snapToGrid w:val="0"/>
                    <w:jc w:val="center"/>
                    <w:rPr>
                      <w:rFonts w:hint="eastAsia" w:eastAsia="宋体"/>
                      <w:sz w:val="21"/>
                      <w:szCs w:val="21"/>
                      <w:lang w:val="en-US" w:eastAsia="zh-CN"/>
                    </w:rPr>
                  </w:pPr>
                  <w:r>
                    <w:rPr>
                      <w:rFonts w:hint="eastAsia"/>
                      <w:sz w:val="21"/>
                      <w:szCs w:val="21"/>
                      <w:lang w:val="en-US" w:eastAsia="zh-CN"/>
                    </w:rPr>
                    <w:t>/</w:t>
                  </w:r>
                </w:p>
              </w:tc>
              <w:tc>
                <w:tcPr>
                  <w:tcW w:w="2643" w:type="dxa"/>
                  <w:vAlign w:val="center"/>
                </w:tcPr>
                <w:p>
                  <w:pPr>
                    <w:snapToGrid w:val="0"/>
                    <w:jc w:val="center"/>
                    <w:rPr>
                      <w:sz w:val="21"/>
                      <w:szCs w:val="21"/>
                    </w:rPr>
                  </w:pPr>
                  <w:r>
                    <w:rPr>
                      <w:sz w:val="21"/>
                      <w:szCs w:val="21"/>
                    </w:rPr>
                    <w:t>《</w:t>
                  </w:r>
                  <w:r>
                    <w:rPr>
                      <w:rFonts w:hint="eastAsia"/>
                      <w:sz w:val="21"/>
                      <w:szCs w:val="21"/>
                    </w:rPr>
                    <w:t>声环境质量</w:t>
                  </w:r>
                  <w:r>
                    <w:rPr>
                      <w:sz w:val="21"/>
                      <w:szCs w:val="21"/>
                    </w:rPr>
                    <w:t>标准》</w:t>
                  </w:r>
                </w:p>
                <w:p>
                  <w:pPr>
                    <w:snapToGrid w:val="0"/>
                    <w:jc w:val="center"/>
                    <w:rPr>
                      <w:sz w:val="21"/>
                      <w:szCs w:val="21"/>
                    </w:rPr>
                  </w:pPr>
                  <w:r>
                    <w:rPr>
                      <w:sz w:val="21"/>
                      <w:szCs w:val="21"/>
                    </w:rPr>
                    <w:t>（GB3096-</w:t>
                  </w:r>
                  <w:r>
                    <w:rPr>
                      <w:rFonts w:hint="eastAsia"/>
                      <w:sz w:val="21"/>
                      <w:szCs w:val="21"/>
                    </w:rPr>
                    <w:t>2008</w:t>
                  </w:r>
                  <w:r>
                    <w:rPr>
                      <w:sz w:val="21"/>
                      <w:szCs w:val="21"/>
                    </w:rPr>
                    <w:t>）</w:t>
                  </w:r>
                  <w:r>
                    <w:rPr>
                      <w:rFonts w:hint="eastAsia"/>
                      <w:sz w:val="21"/>
                      <w:szCs w:val="21"/>
                    </w:rPr>
                    <w:t>3</w:t>
                  </w:r>
                  <w:r>
                    <w:rPr>
                      <w:sz w:val="21"/>
                      <w:szCs w:val="21"/>
                    </w:rPr>
                    <w:t>类区标准</w:t>
                  </w:r>
                </w:p>
              </w:tc>
            </w:tr>
          </w:tbl>
          <w:p>
            <w:pPr>
              <w:spacing w:line="480" w:lineRule="exact"/>
              <w:rPr>
                <w:rFonts w:hint="eastAsia"/>
                <w:szCs w:val="28"/>
              </w:rPr>
            </w:pPr>
          </w:p>
          <w:p>
            <w:pPr>
              <w:spacing w:line="480" w:lineRule="exact"/>
              <w:rPr>
                <w:rFonts w:hint="eastAsia"/>
                <w:szCs w:val="28"/>
              </w:rPr>
            </w:pPr>
          </w:p>
          <w:p>
            <w:pPr>
              <w:spacing w:line="480" w:lineRule="exact"/>
              <w:rPr>
                <w:rFonts w:hint="eastAsia"/>
                <w:szCs w:val="28"/>
              </w:rPr>
            </w:pPr>
          </w:p>
          <w:p>
            <w:pPr>
              <w:spacing w:line="480" w:lineRule="exact"/>
              <w:rPr>
                <w:rFonts w:hint="eastAsia"/>
                <w:szCs w:val="28"/>
              </w:rPr>
            </w:pPr>
          </w:p>
          <w:p>
            <w:pPr>
              <w:spacing w:line="480" w:lineRule="exact"/>
              <w:rPr>
                <w:rFonts w:hint="eastAsia"/>
                <w:szCs w:val="28"/>
              </w:rPr>
            </w:pPr>
          </w:p>
          <w:p>
            <w:pPr>
              <w:spacing w:line="480" w:lineRule="exact"/>
              <w:rPr>
                <w:rFonts w:hint="eastAsia"/>
                <w:szCs w:val="28"/>
              </w:rPr>
            </w:pPr>
          </w:p>
          <w:p>
            <w:pPr>
              <w:spacing w:line="480" w:lineRule="exact"/>
              <w:rPr>
                <w:rFonts w:hint="eastAsia"/>
                <w:szCs w:val="28"/>
              </w:rPr>
            </w:pPr>
          </w:p>
          <w:p>
            <w:pPr>
              <w:spacing w:line="480" w:lineRule="exact"/>
              <w:rPr>
                <w:szCs w:val="28"/>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Ex>
        <w:trPr>
          <w:trHeight w:val="11834" w:hRule="atLeast"/>
        </w:trPr>
        <w:tc>
          <w:tcPr>
            <w:tcW w:w="832" w:type="dxa"/>
            <w:tcBorders>
              <w:bottom w:val="single" w:color="auto" w:sz="8" w:space="0"/>
            </w:tcBorders>
            <w:vAlign w:val="center"/>
          </w:tcPr>
          <w:p>
            <w:pPr>
              <w:spacing w:line="360" w:lineRule="auto"/>
              <w:jc w:val="center"/>
              <w:rPr>
                <w:bCs/>
                <w:sz w:val="24"/>
                <w:szCs w:val="24"/>
              </w:rPr>
            </w:pPr>
            <w:r>
              <w:rPr>
                <w:bCs/>
                <w:sz w:val="24"/>
                <w:szCs w:val="24"/>
              </w:rPr>
              <w:t>环</w:t>
            </w:r>
          </w:p>
          <w:p>
            <w:pPr>
              <w:spacing w:line="360" w:lineRule="auto"/>
              <w:jc w:val="center"/>
              <w:rPr>
                <w:bCs/>
                <w:sz w:val="24"/>
                <w:szCs w:val="24"/>
              </w:rPr>
            </w:pPr>
            <w:r>
              <w:rPr>
                <w:bCs/>
                <w:sz w:val="24"/>
                <w:szCs w:val="24"/>
              </w:rPr>
              <w:t>境</w:t>
            </w:r>
          </w:p>
          <w:p>
            <w:pPr>
              <w:spacing w:line="360" w:lineRule="auto"/>
              <w:jc w:val="center"/>
              <w:rPr>
                <w:bCs/>
                <w:sz w:val="24"/>
                <w:szCs w:val="24"/>
              </w:rPr>
            </w:pPr>
            <w:r>
              <w:rPr>
                <w:bCs/>
                <w:sz w:val="24"/>
                <w:szCs w:val="24"/>
              </w:rPr>
              <w:t>质</w:t>
            </w:r>
          </w:p>
          <w:p>
            <w:pPr>
              <w:spacing w:line="360" w:lineRule="auto"/>
              <w:jc w:val="center"/>
              <w:rPr>
                <w:bCs/>
                <w:sz w:val="24"/>
                <w:szCs w:val="24"/>
              </w:rPr>
            </w:pPr>
            <w:r>
              <w:rPr>
                <w:bCs/>
                <w:sz w:val="24"/>
                <w:szCs w:val="24"/>
              </w:rPr>
              <w:t>量</w:t>
            </w:r>
          </w:p>
          <w:p>
            <w:pPr>
              <w:spacing w:line="360" w:lineRule="auto"/>
              <w:jc w:val="center"/>
              <w:rPr>
                <w:bCs/>
                <w:sz w:val="24"/>
                <w:szCs w:val="24"/>
              </w:rPr>
            </w:pPr>
            <w:r>
              <w:rPr>
                <w:bCs/>
                <w:sz w:val="24"/>
                <w:szCs w:val="24"/>
              </w:rPr>
              <w:t>标</w:t>
            </w:r>
          </w:p>
          <w:p>
            <w:pPr>
              <w:spacing w:line="360" w:lineRule="auto"/>
              <w:jc w:val="center"/>
              <w:rPr>
                <w:bCs/>
                <w:sz w:val="21"/>
                <w:szCs w:val="21"/>
              </w:rPr>
            </w:pPr>
            <w:r>
              <w:rPr>
                <w:bCs/>
                <w:sz w:val="24"/>
                <w:szCs w:val="24"/>
              </w:rPr>
              <w:t>准</w:t>
            </w:r>
          </w:p>
        </w:tc>
        <w:tc>
          <w:tcPr>
            <w:tcW w:w="8490" w:type="dxa"/>
            <w:tcBorders>
              <w:bottom w:val="single" w:color="auto" w:sz="8" w:space="0"/>
            </w:tcBorders>
            <w:tcMar>
              <w:top w:w="85" w:type="dxa"/>
              <w:bottom w:w="340" w:type="dxa"/>
            </w:tcMar>
            <w:vAlign w:val="top"/>
          </w:tcPr>
          <w:p>
            <w:pPr>
              <w:outlineLvl w:val="0"/>
              <w:rPr>
                <w:b/>
                <w:szCs w:val="28"/>
              </w:rPr>
            </w:pPr>
            <w:r>
              <w:rPr>
                <w:b/>
                <w:szCs w:val="28"/>
              </w:rPr>
              <w:t>四、环境适用标准</w:t>
            </w:r>
          </w:p>
          <w:p>
            <w:pPr>
              <w:spacing w:line="440" w:lineRule="exact"/>
              <w:ind w:firstLine="480" w:firstLineChars="200"/>
              <w:rPr>
                <w:sz w:val="24"/>
                <w:szCs w:val="24"/>
              </w:rPr>
            </w:pPr>
            <w:r>
              <w:rPr>
                <w:sz w:val="24"/>
                <w:szCs w:val="24"/>
              </w:rPr>
              <w:t>1、水环境质量标准</w:t>
            </w:r>
          </w:p>
          <w:p>
            <w:pPr>
              <w:spacing w:line="440" w:lineRule="exact"/>
              <w:ind w:firstLine="480" w:firstLineChars="200"/>
              <w:rPr>
                <w:sz w:val="24"/>
                <w:szCs w:val="24"/>
              </w:rPr>
            </w:pPr>
            <w:r>
              <w:rPr>
                <w:sz w:val="24"/>
                <w:szCs w:val="24"/>
              </w:rPr>
              <w:t xml:space="preserve">长江水质执行《地表水质量标准》(GB3838-2002) </w:t>
            </w:r>
            <w:r>
              <w:rPr>
                <w:rFonts w:hint="eastAsia"/>
                <w:sz w:val="24"/>
                <w:szCs w:val="24"/>
              </w:rPr>
              <w:t>Ⅱ</w:t>
            </w:r>
            <w:r>
              <w:rPr>
                <w:sz w:val="24"/>
                <w:szCs w:val="24"/>
              </w:rPr>
              <w:t>类标准，</w:t>
            </w:r>
            <w:r>
              <w:rPr>
                <w:rFonts w:hint="eastAsia"/>
                <w:sz w:val="24"/>
                <w:szCs w:val="24"/>
              </w:rPr>
              <w:t>兴武沟</w:t>
            </w:r>
            <w:r>
              <w:rPr>
                <w:sz w:val="24"/>
                <w:szCs w:val="24"/>
              </w:rPr>
              <w:t>水质执行</w:t>
            </w:r>
            <w:r>
              <w:rPr>
                <w:rFonts w:hint="eastAsia"/>
                <w:sz w:val="22"/>
                <w:szCs w:val="22"/>
              </w:rPr>
              <w:fldChar w:fldCharType="begin"/>
            </w:r>
            <w:r>
              <w:rPr>
                <w:rFonts w:hint="eastAsia"/>
                <w:sz w:val="22"/>
                <w:szCs w:val="22"/>
              </w:rPr>
              <w:instrText xml:space="preserve"> = 5 \* ROMAN \* MERGEFORMAT </w:instrText>
            </w:r>
            <w:r>
              <w:rPr>
                <w:rFonts w:hint="eastAsia"/>
                <w:sz w:val="22"/>
                <w:szCs w:val="22"/>
              </w:rPr>
              <w:fldChar w:fldCharType="separate"/>
            </w:r>
            <w:r>
              <w:rPr>
                <w:sz w:val="24"/>
                <w:szCs w:val="18"/>
              </w:rPr>
              <w:t>V</w:t>
            </w:r>
            <w:r>
              <w:rPr>
                <w:rFonts w:hint="eastAsia"/>
                <w:sz w:val="22"/>
                <w:szCs w:val="22"/>
              </w:rPr>
              <w:fldChar w:fldCharType="end"/>
            </w:r>
            <w:r>
              <w:rPr>
                <w:sz w:val="24"/>
                <w:szCs w:val="24"/>
              </w:rPr>
              <w:t>类标准，其中悬浮物采用水利部《地表水资源质量标准》（SL63-94）中</w:t>
            </w:r>
            <w:r>
              <w:rPr>
                <w:rFonts w:hint="eastAsia"/>
                <w:sz w:val="24"/>
                <w:szCs w:val="24"/>
              </w:rPr>
              <w:t>相关</w:t>
            </w:r>
            <w:r>
              <w:rPr>
                <w:sz w:val="24"/>
                <w:szCs w:val="24"/>
              </w:rPr>
              <w:t>标准限值，见表</w:t>
            </w:r>
            <w:r>
              <w:rPr>
                <w:rFonts w:hint="eastAsia"/>
                <w:sz w:val="24"/>
                <w:szCs w:val="24"/>
              </w:rPr>
              <w:t>12</w:t>
            </w:r>
            <w:r>
              <w:rPr>
                <w:sz w:val="24"/>
                <w:szCs w:val="24"/>
              </w:rPr>
              <w:t>。</w:t>
            </w:r>
          </w:p>
          <w:p>
            <w:pPr>
              <w:spacing w:before="142" w:beforeLines="50"/>
              <w:jc w:val="center"/>
              <w:rPr>
                <w:sz w:val="24"/>
                <w:szCs w:val="24"/>
              </w:rPr>
            </w:pPr>
            <w:r>
              <w:rPr>
                <w:sz w:val="24"/>
                <w:szCs w:val="24"/>
              </w:rPr>
              <w:t>表</w:t>
            </w:r>
            <w:r>
              <w:rPr>
                <w:rFonts w:hint="eastAsia"/>
                <w:sz w:val="24"/>
                <w:szCs w:val="24"/>
              </w:rPr>
              <w:t>12</w:t>
            </w:r>
            <w:r>
              <w:rPr>
                <w:sz w:val="24"/>
                <w:szCs w:val="24"/>
              </w:rPr>
              <w:t xml:space="preserve"> 地表水环境质量标准限值表</w:t>
            </w:r>
          </w:p>
          <w:tbl>
            <w:tblPr>
              <w:tblStyle w:val="34"/>
              <w:tblW w:w="8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11"/>
              <w:gridCol w:w="1897"/>
              <w:gridCol w:w="2053"/>
              <w:gridCol w:w="2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6" w:hRule="atLeast"/>
                <w:jc w:val="center"/>
              </w:trPr>
              <w:tc>
                <w:tcPr>
                  <w:tcW w:w="2111" w:type="dxa"/>
                  <w:vAlign w:val="center"/>
                </w:tcPr>
                <w:p>
                  <w:pPr>
                    <w:snapToGrid w:val="0"/>
                    <w:jc w:val="center"/>
                    <w:rPr>
                      <w:rFonts w:hint="eastAsia"/>
                      <w:sz w:val="21"/>
                      <w:szCs w:val="21"/>
                    </w:rPr>
                  </w:pPr>
                  <w:r>
                    <w:rPr>
                      <w:rFonts w:hint="eastAsia"/>
                      <w:sz w:val="21"/>
                      <w:szCs w:val="21"/>
                    </w:rPr>
                    <w:t>项目</w:t>
                  </w:r>
                </w:p>
              </w:tc>
              <w:tc>
                <w:tcPr>
                  <w:tcW w:w="1897" w:type="dxa"/>
                  <w:vAlign w:val="center"/>
                </w:tcPr>
                <w:p>
                  <w:pPr>
                    <w:snapToGrid w:val="0"/>
                    <w:jc w:val="center"/>
                    <w:rPr>
                      <w:rFonts w:hint="eastAsia"/>
                      <w:sz w:val="21"/>
                      <w:szCs w:val="21"/>
                    </w:rPr>
                  </w:pPr>
                  <w:r>
                    <w:rPr>
                      <w:rFonts w:hint="eastAsia"/>
                      <w:sz w:val="21"/>
                      <w:szCs w:val="21"/>
                    </w:rPr>
                    <w:t>II类标准值</w:t>
                  </w:r>
                </w:p>
              </w:tc>
              <w:tc>
                <w:tcPr>
                  <w:tcW w:w="2053" w:type="dxa"/>
                  <w:vAlign w:val="center"/>
                </w:tcPr>
                <w:p>
                  <w:pPr>
                    <w:snapToGrid w:val="0"/>
                    <w:jc w:val="center"/>
                    <w:rPr>
                      <w:rFonts w:hint="eastAsia"/>
                      <w:sz w:val="21"/>
                      <w:szCs w:val="21"/>
                    </w:rPr>
                  </w:pPr>
                  <w:r>
                    <w:rPr>
                      <w:rFonts w:hint="eastAsia"/>
                      <w:sz w:val="21"/>
                      <w:szCs w:val="21"/>
                    </w:rPr>
                    <w:t>V类标准值</w:t>
                  </w:r>
                </w:p>
              </w:tc>
              <w:tc>
                <w:tcPr>
                  <w:tcW w:w="2213" w:type="dxa"/>
                  <w:vAlign w:val="center"/>
                </w:tcPr>
                <w:p>
                  <w:pPr>
                    <w:snapToGrid w:val="0"/>
                    <w:jc w:val="center"/>
                    <w:rPr>
                      <w:rFonts w:hint="eastAsia"/>
                      <w:sz w:val="21"/>
                      <w:szCs w:val="21"/>
                    </w:rPr>
                  </w:pPr>
                  <w:r>
                    <w:rPr>
                      <w:rFonts w:hint="eastAsia"/>
                      <w:sz w:val="21"/>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jc w:val="center"/>
              </w:trPr>
              <w:tc>
                <w:tcPr>
                  <w:tcW w:w="2111" w:type="dxa"/>
                  <w:vAlign w:val="center"/>
                </w:tcPr>
                <w:p>
                  <w:pPr>
                    <w:snapToGrid w:val="0"/>
                    <w:jc w:val="center"/>
                    <w:rPr>
                      <w:rFonts w:hint="eastAsia"/>
                      <w:sz w:val="21"/>
                      <w:szCs w:val="21"/>
                    </w:rPr>
                  </w:pPr>
                  <w:r>
                    <w:rPr>
                      <w:rFonts w:hint="eastAsia"/>
                      <w:sz w:val="21"/>
                      <w:szCs w:val="21"/>
                    </w:rPr>
                    <w:t>pH</w:t>
                  </w:r>
                </w:p>
              </w:tc>
              <w:tc>
                <w:tcPr>
                  <w:tcW w:w="1897" w:type="dxa"/>
                  <w:vAlign w:val="center"/>
                </w:tcPr>
                <w:p>
                  <w:pPr>
                    <w:snapToGrid w:val="0"/>
                    <w:jc w:val="center"/>
                    <w:rPr>
                      <w:rFonts w:hint="eastAsia"/>
                      <w:color w:val="auto"/>
                      <w:sz w:val="21"/>
                      <w:szCs w:val="21"/>
                    </w:rPr>
                  </w:pPr>
                  <w:r>
                    <w:rPr>
                      <w:rFonts w:hint="eastAsia"/>
                      <w:color w:val="auto"/>
                      <w:sz w:val="21"/>
                      <w:szCs w:val="21"/>
                    </w:rPr>
                    <w:t>6～9</w:t>
                  </w:r>
                </w:p>
              </w:tc>
              <w:tc>
                <w:tcPr>
                  <w:tcW w:w="2053" w:type="dxa"/>
                  <w:vAlign w:val="center"/>
                </w:tcPr>
                <w:p>
                  <w:pPr>
                    <w:snapToGrid w:val="0"/>
                    <w:jc w:val="center"/>
                    <w:rPr>
                      <w:rFonts w:hint="eastAsia"/>
                      <w:color w:val="auto"/>
                      <w:sz w:val="21"/>
                      <w:szCs w:val="21"/>
                    </w:rPr>
                  </w:pPr>
                  <w:r>
                    <w:rPr>
                      <w:rFonts w:hint="eastAsia"/>
                      <w:color w:val="auto"/>
                      <w:sz w:val="21"/>
                      <w:szCs w:val="21"/>
                    </w:rPr>
                    <w:t>6～9</w:t>
                  </w:r>
                </w:p>
              </w:tc>
              <w:tc>
                <w:tcPr>
                  <w:tcW w:w="2213" w:type="dxa"/>
                  <w:vMerge w:val="restart"/>
                  <w:vAlign w:val="center"/>
                </w:tcPr>
                <w:p>
                  <w:pPr>
                    <w:snapToGrid w:val="0"/>
                    <w:jc w:val="center"/>
                    <w:rPr>
                      <w:rFonts w:hint="eastAsia"/>
                      <w:color w:val="auto"/>
                      <w:sz w:val="21"/>
                      <w:szCs w:val="21"/>
                    </w:rPr>
                  </w:pPr>
                  <w:r>
                    <w:rPr>
                      <w:rFonts w:hint="eastAsia"/>
                      <w:color w:val="auto"/>
                      <w:sz w:val="21"/>
                      <w:szCs w:val="21"/>
                    </w:rPr>
                    <w:t>《地表水环境质量标准》（GB3838-2002）表1中V类标准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6" w:hRule="exact"/>
                <w:jc w:val="center"/>
              </w:trPr>
              <w:tc>
                <w:tcPr>
                  <w:tcW w:w="2111" w:type="dxa"/>
                  <w:vAlign w:val="center"/>
                </w:tcPr>
                <w:p>
                  <w:pPr>
                    <w:snapToGrid w:val="0"/>
                    <w:jc w:val="center"/>
                    <w:rPr>
                      <w:rFonts w:hint="eastAsia"/>
                      <w:sz w:val="21"/>
                      <w:szCs w:val="21"/>
                    </w:rPr>
                  </w:pPr>
                  <w:r>
                    <w:rPr>
                      <w:rFonts w:hint="eastAsia"/>
                      <w:sz w:val="21"/>
                      <w:szCs w:val="21"/>
                    </w:rPr>
                    <w:t>COD</w:t>
                  </w:r>
                </w:p>
              </w:tc>
              <w:tc>
                <w:tcPr>
                  <w:tcW w:w="1897" w:type="dxa"/>
                  <w:vAlign w:val="center"/>
                </w:tcPr>
                <w:p>
                  <w:pPr>
                    <w:snapToGrid w:val="0"/>
                    <w:jc w:val="center"/>
                    <w:rPr>
                      <w:rFonts w:hint="eastAsia"/>
                      <w:color w:val="auto"/>
                      <w:sz w:val="21"/>
                      <w:szCs w:val="21"/>
                    </w:rPr>
                  </w:pPr>
                  <w:r>
                    <w:rPr>
                      <w:rFonts w:hint="eastAsia"/>
                      <w:color w:val="auto"/>
                      <w:sz w:val="21"/>
                      <w:szCs w:val="21"/>
                    </w:rPr>
                    <w:t>15</w:t>
                  </w:r>
                </w:p>
              </w:tc>
              <w:tc>
                <w:tcPr>
                  <w:tcW w:w="2053" w:type="dxa"/>
                  <w:vAlign w:val="center"/>
                </w:tcPr>
                <w:p>
                  <w:pPr>
                    <w:snapToGrid w:val="0"/>
                    <w:jc w:val="center"/>
                    <w:rPr>
                      <w:rFonts w:hint="eastAsia"/>
                      <w:color w:val="auto"/>
                      <w:sz w:val="21"/>
                      <w:szCs w:val="21"/>
                    </w:rPr>
                  </w:pPr>
                  <w:r>
                    <w:rPr>
                      <w:rFonts w:hint="eastAsia"/>
                      <w:color w:val="auto"/>
                      <w:sz w:val="21"/>
                      <w:szCs w:val="21"/>
                    </w:rPr>
                    <w:t>40</w:t>
                  </w:r>
                </w:p>
              </w:tc>
              <w:tc>
                <w:tcPr>
                  <w:tcW w:w="2213" w:type="dxa"/>
                  <w:vMerge w:val="continue"/>
                  <w:vAlign w:val="center"/>
                </w:tcPr>
                <w:p>
                  <w:pPr>
                    <w:jc w:val="center"/>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jc w:val="center"/>
              </w:trPr>
              <w:tc>
                <w:tcPr>
                  <w:tcW w:w="2111" w:type="dxa"/>
                  <w:vAlign w:val="center"/>
                </w:tcPr>
                <w:p>
                  <w:pPr>
                    <w:snapToGrid w:val="0"/>
                    <w:jc w:val="center"/>
                    <w:rPr>
                      <w:rFonts w:hint="eastAsia"/>
                      <w:sz w:val="21"/>
                      <w:szCs w:val="21"/>
                    </w:rPr>
                  </w:pPr>
                  <w:r>
                    <w:rPr>
                      <w:rFonts w:hint="eastAsia"/>
                      <w:sz w:val="21"/>
                      <w:szCs w:val="21"/>
                    </w:rPr>
                    <w:t>氨氮</w:t>
                  </w:r>
                </w:p>
              </w:tc>
              <w:tc>
                <w:tcPr>
                  <w:tcW w:w="1897" w:type="dxa"/>
                  <w:vAlign w:val="center"/>
                </w:tcPr>
                <w:p>
                  <w:pPr>
                    <w:snapToGrid w:val="0"/>
                    <w:jc w:val="center"/>
                    <w:rPr>
                      <w:rFonts w:hint="eastAsia"/>
                      <w:sz w:val="21"/>
                      <w:szCs w:val="21"/>
                    </w:rPr>
                  </w:pPr>
                  <w:r>
                    <w:rPr>
                      <w:rFonts w:hint="eastAsia"/>
                      <w:sz w:val="21"/>
                      <w:szCs w:val="21"/>
                    </w:rPr>
                    <w:t>0.5</w:t>
                  </w:r>
                </w:p>
              </w:tc>
              <w:tc>
                <w:tcPr>
                  <w:tcW w:w="2053" w:type="dxa"/>
                  <w:vAlign w:val="center"/>
                </w:tcPr>
                <w:p>
                  <w:pPr>
                    <w:snapToGrid w:val="0"/>
                    <w:jc w:val="center"/>
                    <w:rPr>
                      <w:rFonts w:hint="eastAsia"/>
                      <w:sz w:val="21"/>
                      <w:szCs w:val="21"/>
                    </w:rPr>
                  </w:pPr>
                  <w:r>
                    <w:rPr>
                      <w:rFonts w:hint="eastAsia"/>
                      <w:sz w:val="21"/>
                      <w:szCs w:val="21"/>
                    </w:rPr>
                    <w:t>2.0</w:t>
                  </w:r>
                </w:p>
              </w:tc>
              <w:tc>
                <w:tcPr>
                  <w:tcW w:w="2213"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jc w:val="center"/>
              </w:trPr>
              <w:tc>
                <w:tcPr>
                  <w:tcW w:w="2111" w:type="dxa"/>
                  <w:vAlign w:val="center"/>
                </w:tcPr>
                <w:p>
                  <w:pPr>
                    <w:snapToGrid w:val="0"/>
                    <w:jc w:val="center"/>
                    <w:rPr>
                      <w:rFonts w:hint="eastAsia"/>
                      <w:sz w:val="21"/>
                      <w:szCs w:val="21"/>
                    </w:rPr>
                  </w:pPr>
                  <w:r>
                    <w:rPr>
                      <w:rFonts w:hint="eastAsia"/>
                      <w:sz w:val="21"/>
                      <w:szCs w:val="21"/>
                    </w:rPr>
                    <w:t>TP</w:t>
                  </w:r>
                </w:p>
              </w:tc>
              <w:tc>
                <w:tcPr>
                  <w:tcW w:w="1897" w:type="dxa"/>
                  <w:vAlign w:val="center"/>
                </w:tcPr>
                <w:p>
                  <w:pPr>
                    <w:snapToGrid w:val="0"/>
                    <w:jc w:val="center"/>
                    <w:rPr>
                      <w:rFonts w:hint="eastAsia"/>
                      <w:sz w:val="21"/>
                      <w:szCs w:val="21"/>
                    </w:rPr>
                  </w:pPr>
                  <w:r>
                    <w:rPr>
                      <w:rFonts w:hint="eastAsia"/>
                      <w:sz w:val="21"/>
                      <w:szCs w:val="21"/>
                    </w:rPr>
                    <w:t>0.1</w:t>
                  </w:r>
                </w:p>
              </w:tc>
              <w:tc>
                <w:tcPr>
                  <w:tcW w:w="2053" w:type="dxa"/>
                  <w:vAlign w:val="center"/>
                </w:tcPr>
                <w:p>
                  <w:pPr>
                    <w:snapToGrid w:val="0"/>
                    <w:jc w:val="center"/>
                    <w:rPr>
                      <w:rFonts w:hint="eastAsia"/>
                      <w:sz w:val="21"/>
                      <w:szCs w:val="21"/>
                    </w:rPr>
                  </w:pPr>
                  <w:r>
                    <w:rPr>
                      <w:rFonts w:hint="eastAsia"/>
                      <w:sz w:val="21"/>
                      <w:szCs w:val="21"/>
                    </w:rPr>
                    <w:t>0.4</w:t>
                  </w:r>
                </w:p>
              </w:tc>
              <w:tc>
                <w:tcPr>
                  <w:tcW w:w="2213"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jc w:val="center"/>
              </w:trPr>
              <w:tc>
                <w:tcPr>
                  <w:tcW w:w="2111" w:type="dxa"/>
                  <w:vAlign w:val="center"/>
                </w:tcPr>
                <w:p>
                  <w:pPr>
                    <w:snapToGrid w:val="0"/>
                    <w:jc w:val="center"/>
                    <w:rPr>
                      <w:rFonts w:hint="eastAsia"/>
                      <w:sz w:val="21"/>
                      <w:szCs w:val="21"/>
                    </w:rPr>
                  </w:pPr>
                  <w:r>
                    <w:rPr>
                      <w:rFonts w:hint="eastAsia"/>
                      <w:sz w:val="21"/>
                      <w:szCs w:val="21"/>
                    </w:rPr>
                    <w:t>SS</w:t>
                  </w:r>
                  <w:r>
                    <w:rPr>
                      <w:rFonts w:hint="eastAsia"/>
                      <w:sz w:val="21"/>
                      <w:szCs w:val="21"/>
                    </w:rPr>
                    <w:br w:type="textWrapping"/>
                  </w:r>
                </w:p>
              </w:tc>
              <w:tc>
                <w:tcPr>
                  <w:tcW w:w="1897" w:type="dxa"/>
                  <w:vAlign w:val="center"/>
                </w:tcPr>
                <w:p>
                  <w:pPr>
                    <w:snapToGrid w:val="0"/>
                    <w:jc w:val="center"/>
                    <w:rPr>
                      <w:rFonts w:hint="eastAsia"/>
                      <w:sz w:val="21"/>
                      <w:szCs w:val="21"/>
                    </w:rPr>
                  </w:pPr>
                  <w:r>
                    <w:rPr>
                      <w:rFonts w:hint="eastAsia"/>
                      <w:sz w:val="21"/>
                      <w:szCs w:val="21"/>
                    </w:rPr>
                    <w:t>25</w:t>
                  </w:r>
                </w:p>
              </w:tc>
              <w:tc>
                <w:tcPr>
                  <w:tcW w:w="2053" w:type="dxa"/>
                  <w:vAlign w:val="center"/>
                </w:tcPr>
                <w:p>
                  <w:pPr>
                    <w:snapToGrid w:val="0"/>
                    <w:jc w:val="center"/>
                    <w:rPr>
                      <w:rFonts w:hint="eastAsia"/>
                      <w:sz w:val="21"/>
                      <w:szCs w:val="21"/>
                    </w:rPr>
                  </w:pPr>
                  <w:r>
                    <w:rPr>
                      <w:rFonts w:hint="eastAsia"/>
                      <w:sz w:val="21"/>
                      <w:szCs w:val="21"/>
                    </w:rPr>
                    <w:t>150</w:t>
                  </w:r>
                </w:p>
              </w:tc>
              <w:tc>
                <w:tcPr>
                  <w:tcW w:w="2213" w:type="dxa"/>
                  <w:vMerge w:val="continue"/>
                  <w:vAlign w:val="center"/>
                </w:tcPr>
                <w:p>
                  <w:pPr>
                    <w:jc w:val="center"/>
                    <w:rPr>
                      <w:sz w:val="21"/>
                      <w:szCs w:val="21"/>
                    </w:rPr>
                  </w:pPr>
                </w:p>
              </w:tc>
            </w:tr>
          </w:tbl>
          <w:p>
            <w:pPr>
              <w:spacing w:line="440" w:lineRule="exact"/>
              <w:ind w:firstLine="422" w:firstLineChars="200"/>
              <w:rPr>
                <w:rFonts w:hint="eastAsia"/>
                <w:b/>
              </w:rPr>
            </w:pPr>
            <w:r>
              <w:rPr>
                <w:rFonts w:hint="eastAsia"/>
                <w:b/>
                <w:sz w:val="21"/>
                <w:szCs w:val="21"/>
              </w:rPr>
              <w:t>注：SS参照水利部标准《地表水资源标准》（SL63-94）</w:t>
            </w:r>
          </w:p>
          <w:p>
            <w:pPr>
              <w:spacing w:line="440" w:lineRule="exact"/>
              <w:ind w:firstLine="480" w:firstLineChars="200"/>
              <w:rPr>
                <w:sz w:val="24"/>
                <w:szCs w:val="24"/>
              </w:rPr>
            </w:pPr>
            <w:r>
              <w:rPr>
                <w:sz w:val="24"/>
                <w:szCs w:val="24"/>
              </w:rPr>
              <w:t>2、大气环境质量标准</w:t>
            </w:r>
          </w:p>
          <w:p>
            <w:pPr>
              <w:spacing w:line="440" w:lineRule="exact"/>
              <w:ind w:firstLine="480" w:firstLineChars="200"/>
              <w:rPr>
                <w:sz w:val="24"/>
                <w:szCs w:val="24"/>
              </w:rPr>
            </w:pPr>
            <w:r>
              <w:rPr>
                <w:sz w:val="24"/>
              </w:rPr>
              <w:t>项目所在地大气环境中</w:t>
            </w:r>
            <w:r>
              <w:rPr>
                <w:sz w:val="24"/>
                <w:szCs w:val="24"/>
              </w:rPr>
              <w:t>二氧化硫（SO</w:t>
            </w:r>
            <w:r>
              <w:rPr>
                <w:sz w:val="24"/>
                <w:szCs w:val="24"/>
                <w:vertAlign w:val="subscript"/>
              </w:rPr>
              <w:t>2</w:t>
            </w:r>
            <w:r>
              <w:rPr>
                <w:sz w:val="24"/>
                <w:szCs w:val="24"/>
              </w:rPr>
              <w:t>）</w:t>
            </w:r>
            <w:r>
              <w:rPr>
                <w:sz w:val="24"/>
              </w:rPr>
              <w:t>、</w:t>
            </w:r>
            <w:r>
              <w:rPr>
                <w:sz w:val="24"/>
                <w:szCs w:val="24"/>
              </w:rPr>
              <w:t>二氧</w:t>
            </w:r>
            <w:r>
              <w:rPr>
                <w:sz w:val="24"/>
              </w:rPr>
              <w:t>化氮</w:t>
            </w:r>
            <w:r>
              <w:rPr>
                <w:sz w:val="24"/>
                <w:szCs w:val="24"/>
              </w:rPr>
              <w:t>（NO</w:t>
            </w:r>
            <w:r>
              <w:rPr>
                <w:sz w:val="24"/>
                <w:szCs w:val="24"/>
                <w:vertAlign w:val="subscript"/>
              </w:rPr>
              <w:t>2</w:t>
            </w:r>
            <w:r>
              <w:rPr>
                <w:sz w:val="24"/>
                <w:szCs w:val="24"/>
              </w:rPr>
              <w:t>）</w:t>
            </w:r>
            <w:r>
              <w:rPr>
                <w:sz w:val="24"/>
              </w:rPr>
              <w:t>、</w:t>
            </w:r>
            <w:r>
              <w:rPr>
                <w:rFonts w:hint="eastAsia"/>
                <w:sz w:val="24"/>
              </w:rPr>
              <w:t>PM</w:t>
            </w:r>
            <w:r>
              <w:rPr>
                <w:rFonts w:hint="eastAsia"/>
                <w:sz w:val="24"/>
                <w:vertAlign w:val="subscript"/>
              </w:rPr>
              <w:t>10</w:t>
            </w:r>
            <w:r>
              <w:rPr>
                <w:sz w:val="24"/>
                <w:szCs w:val="24"/>
              </w:rPr>
              <w:t>的浓度</w:t>
            </w:r>
            <w:r>
              <w:rPr>
                <w:rFonts w:hint="eastAsia"/>
                <w:sz w:val="24"/>
              </w:rPr>
              <w:t>执行</w:t>
            </w:r>
            <w:r>
              <w:rPr>
                <w:sz w:val="24"/>
                <w:szCs w:val="24"/>
              </w:rPr>
              <w:t>《环境空气质量标准》</w:t>
            </w:r>
            <w:r>
              <w:rPr>
                <w:sz w:val="24"/>
              </w:rPr>
              <w:t>（GB3095-</w:t>
            </w:r>
            <w:r>
              <w:rPr>
                <w:rFonts w:hint="eastAsia"/>
                <w:sz w:val="24"/>
              </w:rPr>
              <w:t>2012</w:t>
            </w:r>
            <w:r>
              <w:rPr>
                <w:sz w:val="24"/>
              </w:rPr>
              <w:t>）</w:t>
            </w:r>
            <w:r>
              <w:rPr>
                <w:rFonts w:hint="eastAsia"/>
                <w:sz w:val="24"/>
              </w:rPr>
              <w:t>，</w:t>
            </w:r>
            <w:r>
              <w:rPr>
                <w:sz w:val="24"/>
                <w:szCs w:val="24"/>
              </w:rPr>
              <w:t>具体限值见表</w:t>
            </w:r>
            <w:r>
              <w:rPr>
                <w:rFonts w:hint="eastAsia"/>
                <w:sz w:val="24"/>
                <w:szCs w:val="24"/>
              </w:rPr>
              <w:t>13</w:t>
            </w:r>
            <w:r>
              <w:rPr>
                <w:sz w:val="24"/>
                <w:szCs w:val="24"/>
              </w:rPr>
              <w:t>。</w:t>
            </w:r>
          </w:p>
          <w:p>
            <w:pPr>
              <w:spacing w:before="142" w:beforeLines="50"/>
              <w:jc w:val="center"/>
              <w:rPr>
                <w:sz w:val="24"/>
                <w:szCs w:val="24"/>
              </w:rPr>
            </w:pPr>
            <w:r>
              <w:rPr>
                <w:sz w:val="24"/>
                <w:szCs w:val="24"/>
              </w:rPr>
              <w:t>表</w:t>
            </w:r>
            <w:r>
              <w:rPr>
                <w:rFonts w:hint="eastAsia"/>
                <w:sz w:val="24"/>
                <w:szCs w:val="24"/>
              </w:rPr>
              <w:t>13</w:t>
            </w:r>
            <w:r>
              <w:rPr>
                <w:sz w:val="24"/>
                <w:szCs w:val="24"/>
              </w:rPr>
              <w:t xml:space="preserve"> 项目周围环境空气质量标准限值表</w:t>
            </w:r>
          </w:p>
          <w:tbl>
            <w:tblPr>
              <w:tblStyle w:val="34"/>
              <w:tblW w:w="81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3"/>
              <w:gridCol w:w="1652"/>
              <w:gridCol w:w="1912"/>
              <w:gridCol w:w="924"/>
              <w:gridCol w:w="831"/>
              <w:gridCol w:w="827"/>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55" w:hRule="exact"/>
                <w:jc w:val="center"/>
              </w:trPr>
              <w:tc>
                <w:tcPr>
                  <w:tcW w:w="723" w:type="dxa"/>
                  <w:vMerge w:val="restart"/>
                  <w:vAlign w:val="center"/>
                </w:tcPr>
                <w:p>
                  <w:pPr>
                    <w:snapToGrid w:val="0"/>
                    <w:jc w:val="center"/>
                    <w:rPr>
                      <w:sz w:val="21"/>
                      <w:szCs w:val="21"/>
                    </w:rPr>
                  </w:pPr>
                  <w:r>
                    <w:rPr>
                      <w:sz w:val="21"/>
                      <w:szCs w:val="21"/>
                    </w:rPr>
                    <w:t>区域</w:t>
                  </w:r>
                </w:p>
                <w:p>
                  <w:pPr>
                    <w:snapToGrid w:val="0"/>
                    <w:jc w:val="center"/>
                    <w:rPr>
                      <w:sz w:val="21"/>
                      <w:szCs w:val="21"/>
                    </w:rPr>
                  </w:pPr>
                  <w:r>
                    <w:rPr>
                      <w:sz w:val="21"/>
                      <w:szCs w:val="21"/>
                    </w:rPr>
                    <w:t>名称</w:t>
                  </w:r>
                </w:p>
              </w:tc>
              <w:tc>
                <w:tcPr>
                  <w:tcW w:w="1652" w:type="dxa"/>
                  <w:vMerge w:val="restart"/>
                  <w:vAlign w:val="center"/>
                </w:tcPr>
                <w:p>
                  <w:pPr>
                    <w:snapToGrid w:val="0"/>
                    <w:jc w:val="center"/>
                    <w:rPr>
                      <w:sz w:val="21"/>
                      <w:szCs w:val="21"/>
                    </w:rPr>
                  </w:pPr>
                  <w:r>
                    <w:rPr>
                      <w:sz w:val="21"/>
                      <w:szCs w:val="21"/>
                    </w:rPr>
                    <w:t>执行</w:t>
                  </w:r>
                </w:p>
                <w:p>
                  <w:pPr>
                    <w:snapToGrid w:val="0"/>
                    <w:jc w:val="center"/>
                    <w:rPr>
                      <w:sz w:val="21"/>
                      <w:szCs w:val="21"/>
                    </w:rPr>
                  </w:pPr>
                  <w:r>
                    <w:rPr>
                      <w:sz w:val="21"/>
                      <w:szCs w:val="21"/>
                    </w:rPr>
                    <w:t>标准</w:t>
                  </w:r>
                </w:p>
              </w:tc>
              <w:tc>
                <w:tcPr>
                  <w:tcW w:w="1912" w:type="dxa"/>
                  <w:vMerge w:val="restart"/>
                  <w:vAlign w:val="center"/>
                </w:tcPr>
                <w:p>
                  <w:pPr>
                    <w:snapToGrid w:val="0"/>
                    <w:jc w:val="center"/>
                    <w:rPr>
                      <w:sz w:val="21"/>
                      <w:szCs w:val="21"/>
                    </w:rPr>
                  </w:pPr>
                  <w:r>
                    <w:rPr>
                      <w:sz w:val="21"/>
                      <w:szCs w:val="21"/>
                    </w:rPr>
                    <w:t>表号</w:t>
                  </w:r>
                </w:p>
                <w:p>
                  <w:pPr>
                    <w:snapToGrid w:val="0"/>
                    <w:jc w:val="center"/>
                    <w:rPr>
                      <w:sz w:val="21"/>
                      <w:szCs w:val="21"/>
                    </w:rPr>
                  </w:pPr>
                  <w:r>
                    <w:rPr>
                      <w:sz w:val="21"/>
                      <w:szCs w:val="21"/>
                    </w:rPr>
                    <w:t>及级别</w:t>
                  </w:r>
                </w:p>
              </w:tc>
              <w:tc>
                <w:tcPr>
                  <w:tcW w:w="924" w:type="dxa"/>
                  <w:vMerge w:val="restart"/>
                  <w:vAlign w:val="center"/>
                </w:tcPr>
                <w:p>
                  <w:pPr>
                    <w:snapToGrid w:val="0"/>
                    <w:jc w:val="center"/>
                    <w:rPr>
                      <w:sz w:val="21"/>
                      <w:szCs w:val="21"/>
                    </w:rPr>
                  </w:pPr>
                  <w:r>
                    <w:rPr>
                      <w:sz w:val="21"/>
                      <w:szCs w:val="21"/>
                    </w:rPr>
                    <w:t>污染物</w:t>
                  </w:r>
                </w:p>
                <w:p>
                  <w:pPr>
                    <w:snapToGrid w:val="0"/>
                    <w:jc w:val="center"/>
                    <w:rPr>
                      <w:sz w:val="21"/>
                      <w:szCs w:val="21"/>
                    </w:rPr>
                  </w:pPr>
                  <w:r>
                    <w:rPr>
                      <w:sz w:val="21"/>
                      <w:szCs w:val="21"/>
                    </w:rPr>
                    <w:t>名称</w:t>
                  </w:r>
                </w:p>
              </w:tc>
              <w:tc>
                <w:tcPr>
                  <w:tcW w:w="2933" w:type="dxa"/>
                  <w:gridSpan w:val="3"/>
                  <w:vAlign w:val="center"/>
                </w:tcPr>
                <w:p>
                  <w:pPr>
                    <w:snapToGrid w:val="0"/>
                    <w:jc w:val="center"/>
                    <w:rPr>
                      <w:sz w:val="21"/>
                      <w:szCs w:val="21"/>
                    </w:rPr>
                  </w:pPr>
                  <w:r>
                    <w:rPr>
                      <w:sz w:val="21"/>
                      <w:szCs w:val="21"/>
                    </w:rPr>
                    <w:t>标准限值（mg/m</w:t>
                  </w:r>
                  <w:r>
                    <w:rPr>
                      <w:sz w:val="21"/>
                      <w:szCs w:val="21"/>
                      <w:vertAlign w:val="superscript"/>
                    </w:rPr>
                    <w:t>3</w:t>
                  </w: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55" w:hRule="exact"/>
                <w:jc w:val="center"/>
              </w:trPr>
              <w:tc>
                <w:tcPr>
                  <w:tcW w:w="723" w:type="dxa"/>
                  <w:vMerge w:val="continue"/>
                  <w:vAlign w:val="center"/>
                </w:tcPr>
                <w:p>
                  <w:pPr>
                    <w:snapToGrid w:val="0"/>
                    <w:jc w:val="center"/>
                    <w:rPr>
                      <w:sz w:val="21"/>
                      <w:szCs w:val="21"/>
                    </w:rPr>
                  </w:pPr>
                </w:p>
              </w:tc>
              <w:tc>
                <w:tcPr>
                  <w:tcW w:w="1652" w:type="dxa"/>
                  <w:vMerge w:val="continue"/>
                  <w:vAlign w:val="center"/>
                </w:tcPr>
                <w:p>
                  <w:pPr>
                    <w:snapToGrid w:val="0"/>
                    <w:jc w:val="center"/>
                    <w:rPr>
                      <w:sz w:val="21"/>
                      <w:szCs w:val="21"/>
                    </w:rPr>
                  </w:pPr>
                </w:p>
              </w:tc>
              <w:tc>
                <w:tcPr>
                  <w:tcW w:w="1912" w:type="dxa"/>
                  <w:vMerge w:val="continue"/>
                  <w:vAlign w:val="center"/>
                </w:tcPr>
                <w:p>
                  <w:pPr>
                    <w:snapToGrid w:val="0"/>
                    <w:jc w:val="center"/>
                    <w:rPr>
                      <w:sz w:val="21"/>
                      <w:szCs w:val="21"/>
                    </w:rPr>
                  </w:pPr>
                </w:p>
              </w:tc>
              <w:tc>
                <w:tcPr>
                  <w:tcW w:w="924" w:type="dxa"/>
                  <w:vMerge w:val="continue"/>
                  <w:vAlign w:val="center"/>
                </w:tcPr>
                <w:p>
                  <w:pPr>
                    <w:snapToGrid w:val="0"/>
                    <w:jc w:val="center"/>
                    <w:rPr>
                      <w:sz w:val="21"/>
                      <w:szCs w:val="21"/>
                    </w:rPr>
                  </w:pPr>
                </w:p>
              </w:tc>
              <w:tc>
                <w:tcPr>
                  <w:tcW w:w="831" w:type="dxa"/>
                  <w:vAlign w:val="center"/>
                </w:tcPr>
                <w:p>
                  <w:pPr>
                    <w:snapToGrid w:val="0"/>
                    <w:jc w:val="center"/>
                    <w:rPr>
                      <w:sz w:val="21"/>
                      <w:szCs w:val="21"/>
                    </w:rPr>
                  </w:pPr>
                  <w:r>
                    <w:rPr>
                      <w:sz w:val="21"/>
                      <w:szCs w:val="21"/>
                    </w:rPr>
                    <w:t>年平均</w:t>
                  </w:r>
                </w:p>
              </w:tc>
              <w:tc>
                <w:tcPr>
                  <w:tcW w:w="827" w:type="dxa"/>
                  <w:vAlign w:val="center"/>
                </w:tcPr>
                <w:p>
                  <w:pPr>
                    <w:snapToGrid w:val="0"/>
                    <w:jc w:val="center"/>
                    <w:rPr>
                      <w:sz w:val="21"/>
                      <w:szCs w:val="21"/>
                    </w:rPr>
                  </w:pPr>
                  <w:r>
                    <w:rPr>
                      <w:sz w:val="21"/>
                      <w:szCs w:val="21"/>
                    </w:rPr>
                    <w:t>日平均</w:t>
                  </w:r>
                </w:p>
              </w:tc>
              <w:tc>
                <w:tcPr>
                  <w:tcW w:w="1275" w:type="dxa"/>
                  <w:vAlign w:val="center"/>
                </w:tcPr>
                <w:p>
                  <w:pPr>
                    <w:snapToGrid w:val="0"/>
                    <w:jc w:val="center"/>
                    <w:rPr>
                      <w:sz w:val="21"/>
                      <w:szCs w:val="21"/>
                    </w:rPr>
                  </w:pPr>
                  <w:r>
                    <w:rPr>
                      <w:sz w:val="21"/>
                      <w:szCs w:val="21"/>
                    </w:rPr>
                    <w:t>一小时平均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9" w:hRule="exact"/>
                <w:jc w:val="center"/>
              </w:trPr>
              <w:tc>
                <w:tcPr>
                  <w:tcW w:w="723" w:type="dxa"/>
                  <w:vMerge w:val="restart"/>
                  <w:vAlign w:val="center"/>
                </w:tcPr>
                <w:p>
                  <w:pPr>
                    <w:snapToGrid w:val="0"/>
                    <w:jc w:val="center"/>
                    <w:rPr>
                      <w:sz w:val="21"/>
                      <w:szCs w:val="21"/>
                    </w:rPr>
                  </w:pPr>
                  <w:r>
                    <w:rPr>
                      <w:rFonts w:hint="eastAsia"/>
                      <w:sz w:val="21"/>
                      <w:szCs w:val="21"/>
                    </w:rPr>
                    <w:t>周围空气</w:t>
                  </w:r>
                </w:p>
              </w:tc>
              <w:tc>
                <w:tcPr>
                  <w:tcW w:w="1652" w:type="dxa"/>
                  <w:vMerge w:val="restart"/>
                  <w:vAlign w:val="center"/>
                </w:tcPr>
                <w:p>
                  <w:pPr>
                    <w:snapToGrid w:val="0"/>
                    <w:jc w:val="center"/>
                    <w:rPr>
                      <w:rFonts w:hint="eastAsia"/>
                      <w:sz w:val="21"/>
                      <w:szCs w:val="21"/>
                    </w:rPr>
                  </w:pPr>
                  <w:r>
                    <w:rPr>
                      <w:sz w:val="21"/>
                      <w:szCs w:val="21"/>
                    </w:rPr>
                    <w:t>GB3095-</w:t>
                  </w:r>
                  <w:r>
                    <w:rPr>
                      <w:rFonts w:hint="eastAsia"/>
                      <w:sz w:val="21"/>
                      <w:szCs w:val="21"/>
                    </w:rPr>
                    <w:t>2012</w:t>
                  </w:r>
                </w:p>
              </w:tc>
              <w:tc>
                <w:tcPr>
                  <w:tcW w:w="1912" w:type="dxa"/>
                  <w:vMerge w:val="restart"/>
                  <w:vAlign w:val="center"/>
                </w:tcPr>
                <w:p>
                  <w:pPr>
                    <w:snapToGrid w:val="0"/>
                    <w:jc w:val="center"/>
                    <w:rPr>
                      <w:sz w:val="21"/>
                      <w:szCs w:val="21"/>
                    </w:rPr>
                  </w:pPr>
                  <w:r>
                    <w:rPr>
                      <w:sz w:val="21"/>
                      <w:szCs w:val="21"/>
                    </w:rPr>
                    <w:t>表1</w:t>
                  </w:r>
                </w:p>
                <w:p>
                  <w:pPr>
                    <w:snapToGrid w:val="0"/>
                    <w:jc w:val="center"/>
                    <w:rPr>
                      <w:sz w:val="21"/>
                      <w:szCs w:val="21"/>
                    </w:rPr>
                  </w:pPr>
                  <w:r>
                    <w:rPr>
                      <w:sz w:val="21"/>
                      <w:szCs w:val="21"/>
                    </w:rPr>
                    <w:t>二级标</w:t>
                  </w:r>
                  <w:r>
                    <w:rPr>
                      <w:rFonts w:hint="eastAsia"/>
                      <w:sz w:val="21"/>
                      <w:szCs w:val="21"/>
                    </w:rPr>
                    <w:t>准</w:t>
                  </w:r>
                </w:p>
              </w:tc>
              <w:tc>
                <w:tcPr>
                  <w:tcW w:w="924" w:type="dxa"/>
                  <w:vAlign w:val="center"/>
                </w:tcPr>
                <w:p>
                  <w:pPr>
                    <w:snapToGrid w:val="0"/>
                    <w:jc w:val="center"/>
                    <w:rPr>
                      <w:sz w:val="21"/>
                      <w:szCs w:val="21"/>
                      <w:vertAlign w:val="subscript"/>
                    </w:rPr>
                  </w:pPr>
                  <w:r>
                    <w:rPr>
                      <w:sz w:val="21"/>
                      <w:szCs w:val="21"/>
                    </w:rPr>
                    <w:t>SO</w:t>
                  </w:r>
                  <w:r>
                    <w:rPr>
                      <w:sz w:val="21"/>
                      <w:szCs w:val="21"/>
                      <w:vertAlign w:val="subscript"/>
                    </w:rPr>
                    <w:t>2</w:t>
                  </w:r>
                </w:p>
              </w:tc>
              <w:tc>
                <w:tcPr>
                  <w:tcW w:w="831" w:type="dxa"/>
                  <w:vAlign w:val="center"/>
                </w:tcPr>
                <w:p>
                  <w:pPr>
                    <w:snapToGrid w:val="0"/>
                    <w:jc w:val="center"/>
                    <w:rPr>
                      <w:rFonts w:hint="eastAsia"/>
                      <w:sz w:val="21"/>
                      <w:szCs w:val="21"/>
                    </w:rPr>
                  </w:pPr>
                  <w:r>
                    <w:rPr>
                      <w:rFonts w:hint="eastAsia"/>
                      <w:sz w:val="21"/>
                      <w:szCs w:val="21"/>
                    </w:rPr>
                    <w:t>0.06</w:t>
                  </w:r>
                </w:p>
              </w:tc>
              <w:tc>
                <w:tcPr>
                  <w:tcW w:w="827" w:type="dxa"/>
                  <w:vAlign w:val="center"/>
                </w:tcPr>
                <w:p>
                  <w:pPr>
                    <w:snapToGrid w:val="0"/>
                    <w:jc w:val="center"/>
                    <w:rPr>
                      <w:rFonts w:hint="eastAsia"/>
                      <w:sz w:val="21"/>
                      <w:szCs w:val="21"/>
                    </w:rPr>
                  </w:pPr>
                  <w:r>
                    <w:rPr>
                      <w:rFonts w:hint="eastAsia"/>
                      <w:sz w:val="21"/>
                      <w:szCs w:val="21"/>
                    </w:rPr>
                    <w:t>0.15</w:t>
                  </w:r>
                </w:p>
              </w:tc>
              <w:tc>
                <w:tcPr>
                  <w:tcW w:w="1275" w:type="dxa"/>
                  <w:vAlign w:val="center"/>
                </w:tcPr>
                <w:p>
                  <w:pPr>
                    <w:snapToGrid w:val="0"/>
                    <w:jc w:val="center"/>
                    <w:rPr>
                      <w:rFonts w:hint="eastAsia"/>
                      <w:sz w:val="21"/>
                      <w:szCs w:val="21"/>
                    </w:rPr>
                  </w:pPr>
                  <w:r>
                    <w:rPr>
                      <w:rFonts w:hint="eastAsia"/>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9" w:hRule="exact"/>
                <w:jc w:val="center"/>
              </w:trPr>
              <w:tc>
                <w:tcPr>
                  <w:tcW w:w="723" w:type="dxa"/>
                  <w:vMerge w:val="continue"/>
                  <w:vAlign w:val="center"/>
                </w:tcPr>
                <w:p>
                  <w:pPr>
                    <w:snapToGrid w:val="0"/>
                    <w:jc w:val="center"/>
                    <w:rPr>
                      <w:sz w:val="21"/>
                      <w:szCs w:val="21"/>
                    </w:rPr>
                  </w:pPr>
                </w:p>
              </w:tc>
              <w:tc>
                <w:tcPr>
                  <w:tcW w:w="1652" w:type="dxa"/>
                  <w:vMerge w:val="continue"/>
                  <w:vAlign w:val="center"/>
                </w:tcPr>
                <w:p>
                  <w:pPr>
                    <w:snapToGrid w:val="0"/>
                    <w:jc w:val="center"/>
                    <w:rPr>
                      <w:sz w:val="21"/>
                      <w:szCs w:val="21"/>
                    </w:rPr>
                  </w:pPr>
                </w:p>
              </w:tc>
              <w:tc>
                <w:tcPr>
                  <w:tcW w:w="1912" w:type="dxa"/>
                  <w:vMerge w:val="continue"/>
                  <w:vAlign w:val="center"/>
                </w:tcPr>
                <w:p>
                  <w:pPr>
                    <w:snapToGrid w:val="0"/>
                    <w:jc w:val="center"/>
                    <w:rPr>
                      <w:sz w:val="21"/>
                      <w:szCs w:val="21"/>
                    </w:rPr>
                  </w:pPr>
                </w:p>
              </w:tc>
              <w:tc>
                <w:tcPr>
                  <w:tcW w:w="924" w:type="dxa"/>
                  <w:vAlign w:val="center"/>
                </w:tcPr>
                <w:p>
                  <w:pPr>
                    <w:snapToGrid w:val="0"/>
                    <w:jc w:val="center"/>
                    <w:rPr>
                      <w:rFonts w:hint="eastAsia"/>
                      <w:sz w:val="21"/>
                      <w:szCs w:val="21"/>
                    </w:rPr>
                  </w:pPr>
                  <w:r>
                    <w:rPr>
                      <w:rFonts w:hint="eastAsia"/>
                      <w:sz w:val="21"/>
                      <w:szCs w:val="21"/>
                    </w:rPr>
                    <w:t>PM</w:t>
                  </w:r>
                  <w:r>
                    <w:rPr>
                      <w:rFonts w:hint="eastAsia"/>
                      <w:sz w:val="21"/>
                      <w:szCs w:val="21"/>
                      <w:vertAlign w:val="subscript"/>
                    </w:rPr>
                    <w:t>10</w:t>
                  </w:r>
                </w:p>
              </w:tc>
              <w:tc>
                <w:tcPr>
                  <w:tcW w:w="831" w:type="dxa"/>
                  <w:vAlign w:val="center"/>
                </w:tcPr>
                <w:p>
                  <w:pPr>
                    <w:snapToGrid w:val="0"/>
                    <w:jc w:val="center"/>
                    <w:rPr>
                      <w:rFonts w:hint="eastAsia"/>
                      <w:sz w:val="21"/>
                      <w:szCs w:val="21"/>
                    </w:rPr>
                  </w:pPr>
                  <w:r>
                    <w:rPr>
                      <w:rFonts w:hint="eastAsia"/>
                      <w:sz w:val="21"/>
                      <w:szCs w:val="21"/>
                    </w:rPr>
                    <w:t>0.07</w:t>
                  </w:r>
                </w:p>
              </w:tc>
              <w:tc>
                <w:tcPr>
                  <w:tcW w:w="827" w:type="dxa"/>
                  <w:vAlign w:val="center"/>
                </w:tcPr>
                <w:p>
                  <w:pPr>
                    <w:snapToGrid w:val="0"/>
                    <w:jc w:val="center"/>
                    <w:rPr>
                      <w:rFonts w:hint="eastAsia"/>
                      <w:sz w:val="21"/>
                      <w:szCs w:val="21"/>
                    </w:rPr>
                  </w:pPr>
                  <w:r>
                    <w:rPr>
                      <w:rFonts w:hint="eastAsia"/>
                      <w:sz w:val="21"/>
                      <w:szCs w:val="21"/>
                    </w:rPr>
                    <w:t>0.15</w:t>
                  </w:r>
                </w:p>
              </w:tc>
              <w:tc>
                <w:tcPr>
                  <w:tcW w:w="1275" w:type="dxa"/>
                  <w:vAlign w:val="center"/>
                </w:tcPr>
                <w:p>
                  <w:pPr>
                    <w:snapToGrid w:val="0"/>
                    <w:jc w:val="center"/>
                    <w:rPr>
                      <w:rFonts w:hint="eastAsia"/>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9" w:hRule="exact"/>
                <w:jc w:val="center"/>
              </w:trPr>
              <w:tc>
                <w:tcPr>
                  <w:tcW w:w="723" w:type="dxa"/>
                  <w:vMerge w:val="continue"/>
                  <w:vAlign w:val="center"/>
                </w:tcPr>
                <w:p>
                  <w:pPr>
                    <w:snapToGrid w:val="0"/>
                    <w:jc w:val="center"/>
                    <w:rPr>
                      <w:sz w:val="21"/>
                      <w:szCs w:val="21"/>
                    </w:rPr>
                  </w:pPr>
                </w:p>
              </w:tc>
              <w:tc>
                <w:tcPr>
                  <w:tcW w:w="1652" w:type="dxa"/>
                  <w:vMerge w:val="continue"/>
                  <w:vAlign w:val="center"/>
                </w:tcPr>
                <w:p>
                  <w:pPr>
                    <w:snapToGrid w:val="0"/>
                    <w:jc w:val="center"/>
                    <w:rPr>
                      <w:sz w:val="21"/>
                      <w:szCs w:val="21"/>
                    </w:rPr>
                  </w:pPr>
                </w:p>
              </w:tc>
              <w:tc>
                <w:tcPr>
                  <w:tcW w:w="1912" w:type="dxa"/>
                  <w:vMerge w:val="continue"/>
                  <w:vAlign w:val="center"/>
                </w:tcPr>
                <w:p>
                  <w:pPr>
                    <w:snapToGrid w:val="0"/>
                    <w:jc w:val="center"/>
                    <w:rPr>
                      <w:sz w:val="21"/>
                      <w:szCs w:val="21"/>
                    </w:rPr>
                  </w:pPr>
                </w:p>
              </w:tc>
              <w:tc>
                <w:tcPr>
                  <w:tcW w:w="924" w:type="dxa"/>
                  <w:vAlign w:val="center"/>
                </w:tcPr>
                <w:p>
                  <w:pPr>
                    <w:snapToGrid w:val="0"/>
                    <w:jc w:val="center"/>
                    <w:rPr>
                      <w:sz w:val="21"/>
                      <w:szCs w:val="21"/>
                    </w:rPr>
                  </w:pPr>
                  <w:r>
                    <w:rPr>
                      <w:sz w:val="21"/>
                      <w:szCs w:val="21"/>
                    </w:rPr>
                    <w:t>NO</w:t>
                  </w:r>
                  <w:r>
                    <w:rPr>
                      <w:sz w:val="21"/>
                      <w:szCs w:val="21"/>
                      <w:vertAlign w:val="subscript"/>
                    </w:rPr>
                    <w:t>2</w:t>
                  </w:r>
                </w:p>
              </w:tc>
              <w:tc>
                <w:tcPr>
                  <w:tcW w:w="831" w:type="dxa"/>
                  <w:vAlign w:val="center"/>
                </w:tcPr>
                <w:p>
                  <w:pPr>
                    <w:snapToGrid w:val="0"/>
                    <w:jc w:val="center"/>
                    <w:rPr>
                      <w:rFonts w:hint="eastAsia"/>
                      <w:sz w:val="21"/>
                      <w:szCs w:val="21"/>
                    </w:rPr>
                  </w:pPr>
                  <w:r>
                    <w:rPr>
                      <w:rFonts w:hint="eastAsia"/>
                      <w:sz w:val="21"/>
                      <w:szCs w:val="21"/>
                    </w:rPr>
                    <w:t>0.04</w:t>
                  </w:r>
                </w:p>
              </w:tc>
              <w:tc>
                <w:tcPr>
                  <w:tcW w:w="827" w:type="dxa"/>
                  <w:vAlign w:val="center"/>
                </w:tcPr>
                <w:p>
                  <w:pPr>
                    <w:snapToGrid w:val="0"/>
                    <w:jc w:val="center"/>
                    <w:rPr>
                      <w:rFonts w:hint="eastAsia"/>
                      <w:sz w:val="21"/>
                      <w:szCs w:val="21"/>
                    </w:rPr>
                  </w:pPr>
                  <w:r>
                    <w:rPr>
                      <w:rFonts w:hint="eastAsia"/>
                      <w:sz w:val="21"/>
                      <w:szCs w:val="21"/>
                    </w:rPr>
                    <w:t>0.08</w:t>
                  </w:r>
                </w:p>
              </w:tc>
              <w:tc>
                <w:tcPr>
                  <w:tcW w:w="1275" w:type="dxa"/>
                  <w:vAlign w:val="center"/>
                </w:tcPr>
                <w:p>
                  <w:pPr>
                    <w:snapToGrid w:val="0"/>
                    <w:jc w:val="center"/>
                    <w:rPr>
                      <w:rFonts w:hint="eastAsia"/>
                      <w:sz w:val="21"/>
                      <w:szCs w:val="21"/>
                    </w:rPr>
                  </w:pPr>
                  <w:r>
                    <w:rPr>
                      <w:rFonts w:hint="eastAsia"/>
                      <w:sz w:val="21"/>
                      <w:szCs w:val="21"/>
                    </w:rPr>
                    <w:t>0.2</w:t>
                  </w:r>
                </w:p>
              </w:tc>
            </w:tr>
          </w:tbl>
          <w:p>
            <w:pPr>
              <w:spacing w:line="440" w:lineRule="exact"/>
              <w:ind w:firstLine="480" w:firstLineChars="200"/>
              <w:rPr>
                <w:sz w:val="24"/>
                <w:szCs w:val="24"/>
              </w:rPr>
            </w:pPr>
            <w:r>
              <w:rPr>
                <w:sz w:val="24"/>
                <w:szCs w:val="24"/>
              </w:rPr>
              <w:t>3、声环境质量标准</w:t>
            </w:r>
          </w:p>
          <w:p>
            <w:pPr>
              <w:spacing w:line="440" w:lineRule="exact"/>
              <w:ind w:firstLine="480" w:firstLineChars="200"/>
              <w:rPr>
                <w:sz w:val="24"/>
                <w:szCs w:val="24"/>
              </w:rPr>
            </w:pPr>
            <w:r>
              <w:rPr>
                <w:sz w:val="24"/>
                <w:szCs w:val="24"/>
              </w:rPr>
              <w:t>区域声环境质量执行《</w:t>
            </w:r>
            <w:r>
              <w:rPr>
                <w:rFonts w:hint="eastAsia"/>
                <w:sz w:val="24"/>
                <w:szCs w:val="24"/>
              </w:rPr>
              <w:t>声环境质量</w:t>
            </w:r>
            <w:r>
              <w:rPr>
                <w:sz w:val="24"/>
                <w:szCs w:val="24"/>
              </w:rPr>
              <w:t>标准》（GB3096-</w:t>
            </w:r>
            <w:r>
              <w:rPr>
                <w:rFonts w:hint="eastAsia"/>
                <w:sz w:val="24"/>
                <w:szCs w:val="24"/>
              </w:rPr>
              <w:t>2008</w:t>
            </w:r>
            <w:r>
              <w:rPr>
                <w:sz w:val="24"/>
                <w:szCs w:val="24"/>
              </w:rPr>
              <w:t>）3类区标准，见表</w:t>
            </w:r>
            <w:r>
              <w:rPr>
                <w:rFonts w:hint="eastAsia"/>
                <w:sz w:val="24"/>
                <w:szCs w:val="24"/>
              </w:rPr>
              <w:t>14</w:t>
            </w:r>
            <w:r>
              <w:rPr>
                <w:sz w:val="24"/>
                <w:szCs w:val="24"/>
              </w:rPr>
              <w:t>。</w:t>
            </w:r>
          </w:p>
          <w:p>
            <w:pPr>
              <w:spacing w:before="142" w:beforeLines="50"/>
              <w:jc w:val="center"/>
              <w:rPr>
                <w:sz w:val="24"/>
                <w:szCs w:val="24"/>
              </w:rPr>
            </w:pPr>
            <w:r>
              <w:rPr>
                <w:sz w:val="24"/>
                <w:szCs w:val="24"/>
              </w:rPr>
              <w:t>表</w:t>
            </w:r>
            <w:r>
              <w:rPr>
                <w:rFonts w:hint="eastAsia"/>
                <w:sz w:val="24"/>
                <w:szCs w:val="24"/>
              </w:rPr>
              <w:t>14</w:t>
            </w:r>
            <w:r>
              <w:rPr>
                <w:sz w:val="24"/>
                <w:szCs w:val="24"/>
              </w:rPr>
              <w:t xml:space="preserve"> 区域声环境质量标准限值表</w:t>
            </w:r>
          </w:p>
          <w:tbl>
            <w:tblPr>
              <w:tblStyle w:val="34"/>
              <w:tblW w:w="82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754"/>
              <w:gridCol w:w="2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755" w:type="dxa"/>
                  <w:vAlign w:val="center"/>
                </w:tcPr>
                <w:p>
                  <w:pPr>
                    <w:snapToGrid w:val="0"/>
                    <w:jc w:val="center"/>
                    <w:rPr>
                      <w:sz w:val="21"/>
                      <w:szCs w:val="21"/>
                    </w:rPr>
                  </w:pPr>
                  <w:r>
                    <w:rPr>
                      <w:sz w:val="21"/>
                      <w:szCs w:val="21"/>
                    </w:rPr>
                    <w:t>级别</w:t>
                  </w:r>
                </w:p>
              </w:tc>
              <w:tc>
                <w:tcPr>
                  <w:tcW w:w="2754" w:type="dxa"/>
                  <w:vAlign w:val="center"/>
                </w:tcPr>
                <w:p>
                  <w:pPr>
                    <w:spacing w:line="280" w:lineRule="exact"/>
                    <w:jc w:val="center"/>
                    <w:rPr>
                      <w:sz w:val="21"/>
                      <w:szCs w:val="21"/>
                    </w:rPr>
                  </w:pPr>
                  <w:r>
                    <w:rPr>
                      <w:sz w:val="21"/>
                      <w:szCs w:val="21"/>
                    </w:rPr>
                    <w:t>昼间</w:t>
                  </w:r>
                </w:p>
              </w:tc>
              <w:tc>
                <w:tcPr>
                  <w:tcW w:w="2755" w:type="dxa"/>
                  <w:vAlign w:val="center"/>
                </w:tcPr>
                <w:p>
                  <w:pPr>
                    <w:spacing w:line="280" w:lineRule="exact"/>
                    <w:jc w:val="center"/>
                    <w:rPr>
                      <w:sz w:val="21"/>
                      <w:szCs w:val="21"/>
                    </w:rPr>
                  </w:pPr>
                  <w:r>
                    <w:rPr>
                      <w:sz w:val="21"/>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755" w:type="dxa"/>
                  <w:vAlign w:val="center"/>
                </w:tcPr>
                <w:p>
                  <w:pPr>
                    <w:snapToGrid w:val="0"/>
                    <w:jc w:val="center"/>
                    <w:rPr>
                      <w:sz w:val="21"/>
                      <w:szCs w:val="21"/>
                    </w:rPr>
                  </w:pPr>
                  <w:r>
                    <w:rPr>
                      <w:sz w:val="21"/>
                      <w:szCs w:val="21"/>
                    </w:rPr>
                    <w:t>3类区标准</w:t>
                  </w:r>
                </w:p>
              </w:tc>
              <w:tc>
                <w:tcPr>
                  <w:tcW w:w="2754" w:type="dxa"/>
                  <w:vAlign w:val="center"/>
                </w:tcPr>
                <w:p>
                  <w:pPr>
                    <w:spacing w:line="280" w:lineRule="exact"/>
                    <w:jc w:val="center"/>
                    <w:rPr>
                      <w:sz w:val="21"/>
                      <w:szCs w:val="21"/>
                    </w:rPr>
                  </w:pPr>
                  <w:r>
                    <w:rPr>
                      <w:sz w:val="21"/>
                      <w:szCs w:val="21"/>
                    </w:rPr>
                    <w:t>65dB(</w:t>
                  </w:r>
                  <w:r>
                    <w:rPr>
                      <w:rFonts w:hint="eastAsia"/>
                      <w:sz w:val="21"/>
                      <w:szCs w:val="21"/>
                    </w:rPr>
                    <w:t>A</w:t>
                  </w:r>
                  <w:r>
                    <w:rPr>
                      <w:sz w:val="21"/>
                      <w:szCs w:val="21"/>
                    </w:rPr>
                    <w:t>)</w:t>
                  </w:r>
                </w:p>
              </w:tc>
              <w:tc>
                <w:tcPr>
                  <w:tcW w:w="2755" w:type="dxa"/>
                  <w:vAlign w:val="center"/>
                </w:tcPr>
                <w:p>
                  <w:pPr>
                    <w:spacing w:line="280" w:lineRule="exact"/>
                    <w:jc w:val="center"/>
                    <w:rPr>
                      <w:sz w:val="21"/>
                      <w:szCs w:val="21"/>
                    </w:rPr>
                  </w:pPr>
                  <w:r>
                    <w:rPr>
                      <w:sz w:val="21"/>
                      <w:szCs w:val="21"/>
                    </w:rPr>
                    <w:t>55dB(</w:t>
                  </w:r>
                  <w:r>
                    <w:rPr>
                      <w:rFonts w:hint="eastAsia"/>
                      <w:sz w:val="21"/>
                      <w:szCs w:val="21"/>
                    </w:rPr>
                    <w:t>A</w:t>
                  </w:r>
                  <w:r>
                    <w:rPr>
                      <w:sz w:val="21"/>
                      <w:szCs w:val="21"/>
                    </w:rPr>
                    <w:t>)</w:t>
                  </w:r>
                </w:p>
              </w:tc>
            </w:tr>
          </w:tbl>
          <w:p>
            <w:pPr>
              <w:spacing w:before="142" w:beforeLines="50" w:line="360" w:lineRule="auto"/>
              <w:ind w:firstLine="420"/>
              <w:rPr>
                <w:rFonts w:hint="eastAsia"/>
                <w:sz w:val="24"/>
                <w:szCs w:val="24"/>
              </w:rPr>
            </w:pPr>
          </w:p>
          <w:p>
            <w:pPr>
              <w:spacing w:before="142" w:beforeLines="50" w:line="360" w:lineRule="auto"/>
              <w:ind w:firstLine="420"/>
              <w:rPr>
                <w:rFonts w:hint="eastAsia"/>
                <w:sz w:val="24"/>
                <w:szCs w:val="24"/>
              </w:rPr>
            </w:pPr>
          </w:p>
          <w:p>
            <w:pPr>
              <w:spacing w:before="142" w:beforeLines="50" w:line="360" w:lineRule="auto"/>
              <w:ind w:firstLine="420"/>
              <w:rPr>
                <w:sz w:val="24"/>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Ex>
        <w:trPr>
          <w:trHeight w:val="5858" w:hRule="atLeast"/>
        </w:trPr>
        <w:tc>
          <w:tcPr>
            <w:tcW w:w="832" w:type="dxa"/>
            <w:vAlign w:val="center"/>
          </w:tcPr>
          <w:p>
            <w:pPr>
              <w:spacing w:line="360" w:lineRule="auto"/>
              <w:jc w:val="center"/>
              <w:rPr>
                <w:bCs/>
                <w:sz w:val="24"/>
                <w:szCs w:val="24"/>
              </w:rPr>
            </w:pPr>
            <w:r>
              <w:rPr>
                <w:bCs/>
                <w:sz w:val="24"/>
                <w:szCs w:val="24"/>
              </w:rPr>
              <w:t>污</w:t>
            </w:r>
          </w:p>
          <w:p>
            <w:pPr>
              <w:spacing w:line="360" w:lineRule="auto"/>
              <w:jc w:val="center"/>
              <w:rPr>
                <w:bCs/>
                <w:sz w:val="24"/>
                <w:szCs w:val="24"/>
              </w:rPr>
            </w:pPr>
            <w:r>
              <w:rPr>
                <w:bCs/>
                <w:sz w:val="24"/>
                <w:szCs w:val="24"/>
              </w:rPr>
              <w:t>染</w:t>
            </w:r>
          </w:p>
          <w:p>
            <w:pPr>
              <w:spacing w:line="360" w:lineRule="auto"/>
              <w:jc w:val="center"/>
              <w:rPr>
                <w:bCs/>
                <w:sz w:val="24"/>
                <w:szCs w:val="24"/>
              </w:rPr>
            </w:pPr>
            <w:r>
              <w:rPr>
                <w:bCs/>
                <w:sz w:val="24"/>
                <w:szCs w:val="24"/>
              </w:rPr>
              <w:t>物</w:t>
            </w:r>
          </w:p>
          <w:p>
            <w:pPr>
              <w:spacing w:line="360" w:lineRule="auto"/>
              <w:jc w:val="center"/>
              <w:rPr>
                <w:bCs/>
                <w:sz w:val="24"/>
                <w:szCs w:val="24"/>
              </w:rPr>
            </w:pPr>
            <w:r>
              <w:rPr>
                <w:bCs/>
                <w:sz w:val="24"/>
                <w:szCs w:val="24"/>
              </w:rPr>
              <w:t>排</w:t>
            </w:r>
          </w:p>
          <w:p>
            <w:pPr>
              <w:spacing w:line="360" w:lineRule="auto"/>
              <w:jc w:val="center"/>
              <w:rPr>
                <w:bCs/>
                <w:sz w:val="24"/>
                <w:szCs w:val="24"/>
              </w:rPr>
            </w:pPr>
            <w:r>
              <w:rPr>
                <w:bCs/>
                <w:sz w:val="24"/>
                <w:szCs w:val="24"/>
              </w:rPr>
              <w:t>放</w:t>
            </w:r>
          </w:p>
          <w:p>
            <w:pPr>
              <w:spacing w:line="360" w:lineRule="auto"/>
              <w:jc w:val="center"/>
              <w:rPr>
                <w:bCs/>
                <w:sz w:val="24"/>
                <w:szCs w:val="24"/>
              </w:rPr>
            </w:pPr>
            <w:r>
              <w:rPr>
                <w:bCs/>
                <w:sz w:val="24"/>
                <w:szCs w:val="24"/>
              </w:rPr>
              <w:t>标</w:t>
            </w:r>
          </w:p>
          <w:p>
            <w:pPr>
              <w:spacing w:line="360" w:lineRule="auto"/>
              <w:jc w:val="center"/>
              <w:rPr>
                <w:bCs/>
                <w:sz w:val="21"/>
                <w:szCs w:val="21"/>
              </w:rPr>
            </w:pPr>
            <w:r>
              <w:rPr>
                <w:bCs/>
                <w:sz w:val="24"/>
                <w:szCs w:val="24"/>
              </w:rPr>
              <w:t>准</w:t>
            </w:r>
          </w:p>
        </w:tc>
        <w:tc>
          <w:tcPr>
            <w:tcW w:w="8490" w:type="dxa"/>
            <w:tcMar>
              <w:top w:w="85" w:type="dxa"/>
              <w:bottom w:w="170" w:type="dxa"/>
            </w:tcMar>
            <w:vAlign w:val="top"/>
          </w:tcPr>
          <w:p>
            <w:pPr>
              <w:spacing w:line="440" w:lineRule="exact"/>
              <w:ind w:firstLine="480" w:firstLineChars="200"/>
              <w:rPr>
                <w:sz w:val="24"/>
                <w:szCs w:val="24"/>
              </w:rPr>
            </w:pPr>
            <w:r>
              <w:rPr>
                <w:sz w:val="24"/>
                <w:szCs w:val="24"/>
              </w:rPr>
              <w:t>1、水污染物排放标准</w:t>
            </w:r>
          </w:p>
          <w:p>
            <w:pPr>
              <w:spacing w:line="440" w:lineRule="exact"/>
              <w:ind w:firstLine="480" w:firstLineChars="200"/>
              <w:rPr>
                <w:rFonts w:hint="eastAsia"/>
                <w:sz w:val="24"/>
                <w:szCs w:val="24"/>
              </w:rPr>
            </w:pPr>
            <w:r>
              <w:rPr>
                <w:rFonts w:hint="eastAsia"/>
                <w:sz w:val="24"/>
                <w:szCs w:val="24"/>
              </w:rPr>
              <w:t>拟建项目废水排入收集管网进入开发区污水处理厂进行处理，废水排放执行《污水综合排放标准》（GB8978-1996）中三级标准，氨氮和总磷参照执行</w:t>
            </w:r>
            <w:bookmarkStart w:id="0" w:name="OLE_LINK2"/>
            <w:bookmarkStart w:id="1" w:name="OLE_LINK3"/>
            <w:r>
              <w:rPr>
                <w:rFonts w:hint="eastAsia"/>
                <w:sz w:val="24"/>
                <w:szCs w:val="24"/>
              </w:rPr>
              <w:t>《污水排入城市下水道水质标准》（</w:t>
            </w:r>
            <w:r>
              <w:rPr>
                <w:sz w:val="24"/>
                <w:szCs w:val="24"/>
              </w:rPr>
              <w:t>CJ343-2010</w:t>
            </w:r>
            <w:r>
              <w:rPr>
                <w:rFonts w:hint="eastAsia"/>
                <w:sz w:val="24"/>
                <w:szCs w:val="24"/>
              </w:rPr>
              <w:t>）</w:t>
            </w:r>
            <w:bookmarkEnd w:id="0"/>
            <w:bookmarkEnd w:id="1"/>
            <w:r>
              <w:rPr>
                <w:rFonts w:hint="eastAsia"/>
                <w:sz w:val="24"/>
                <w:szCs w:val="24"/>
              </w:rPr>
              <w:t>。污水处理厂尾水达到《污水综合排放标准》（GB8978-1996）表4中一级标准最终排入兴武沟。见表15。</w:t>
            </w:r>
          </w:p>
          <w:p>
            <w:pPr>
              <w:spacing w:line="440" w:lineRule="exact"/>
              <w:ind w:firstLine="480" w:firstLineChars="200"/>
              <w:rPr>
                <w:rFonts w:hint="eastAsia"/>
                <w:sz w:val="24"/>
                <w:szCs w:val="24"/>
              </w:rPr>
            </w:pPr>
            <w:r>
              <w:rPr>
                <w:rFonts w:hint="eastAsia"/>
                <w:sz w:val="24"/>
              </w:rPr>
              <w:t>项目接管排放浓度限值及开发区污水处理厂最终排放标准具体</w:t>
            </w:r>
            <w:r>
              <w:rPr>
                <w:sz w:val="24"/>
                <w:szCs w:val="24"/>
              </w:rPr>
              <w:t>见表</w:t>
            </w:r>
            <w:r>
              <w:rPr>
                <w:rFonts w:hint="eastAsia"/>
                <w:sz w:val="24"/>
                <w:szCs w:val="24"/>
              </w:rPr>
              <w:t>1</w:t>
            </w:r>
            <w:r>
              <w:rPr>
                <w:sz w:val="24"/>
                <w:szCs w:val="24"/>
              </w:rPr>
              <w:t>4。</w:t>
            </w:r>
          </w:p>
          <w:p>
            <w:pPr>
              <w:spacing w:before="142" w:beforeLines="50"/>
              <w:jc w:val="center"/>
              <w:rPr>
                <w:sz w:val="24"/>
                <w:szCs w:val="24"/>
              </w:rPr>
            </w:pPr>
            <w:r>
              <w:rPr>
                <w:sz w:val="24"/>
                <w:szCs w:val="24"/>
              </w:rPr>
              <w:t>表</w:t>
            </w:r>
            <w:r>
              <w:rPr>
                <w:rFonts w:hint="eastAsia"/>
                <w:sz w:val="24"/>
                <w:szCs w:val="24"/>
              </w:rPr>
              <w:t>15</w:t>
            </w:r>
            <w:r>
              <w:rPr>
                <w:sz w:val="24"/>
                <w:szCs w:val="24"/>
              </w:rPr>
              <w:t xml:space="preserve"> 废、污水排放标准限值表</w:t>
            </w:r>
          </w:p>
          <w:tbl>
            <w:tblPr>
              <w:tblStyle w:val="34"/>
              <w:tblW w:w="80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018"/>
              <w:gridCol w:w="1418"/>
              <w:gridCol w:w="1264"/>
              <w:gridCol w:w="1013"/>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Align w:val="center"/>
                </w:tcPr>
                <w:p>
                  <w:pPr>
                    <w:snapToGrid w:val="0"/>
                    <w:jc w:val="center"/>
                    <w:rPr>
                      <w:sz w:val="21"/>
                      <w:szCs w:val="21"/>
                    </w:rPr>
                  </w:pPr>
                  <w:r>
                    <w:rPr>
                      <w:rFonts w:hAnsi="宋体"/>
                      <w:sz w:val="21"/>
                      <w:szCs w:val="21"/>
                    </w:rPr>
                    <w:t>排放口</w:t>
                  </w:r>
                </w:p>
                <w:p>
                  <w:pPr>
                    <w:snapToGrid w:val="0"/>
                    <w:jc w:val="center"/>
                    <w:rPr>
                      <w:sz w:val="21"/>
                      <w:szCs w:val="21"/>
                    </w:rPr>
                  </w:pPr>
                  <w:r>
                    <w:rPr>
                      <w:rFonts w:hAnsi="宋体"/>
                      <w:sz w:val="21"/>
                      <w:szCs w:val="21"/>
                    </w:rPr>
                    <w:t>名称</w:t>
                  </w:r>
                </w:p>
              </w:tc>
              <w:tc>
                <w:tcPr>
                  <w:tcW w:w="2018" w:type="dxa"/>
                  <w:vAlign w:val="center"/>
                </w:tcPr>
                <w:p>
                  <w:pPr>
                    <w:snapToGrid w:val="0"/>
                    <w:jc w:val="center"/>
                    <w:rPr>
                      <w:sz w:val="21"/>
                      <w:szCs w:val="21"/>
                    </w:rPr>
                  </w:pPr>
                  <w:r>
                    <w:rPr>
                      <w:rFonts w:hAnsi="宋体"/>
                      <w:sz w:val="21"/>
                      <w:szCs w:val="21"/>
                    </w:rPr>
                    <w:t>执</w:t>
                  </w:r>
                  <w:r>
                    <w:rPr>
                      <w:sz w:val="21"/>
                      <w:szCs w:val="21"/>
                    </w:rPr>
                    <w:t xml:space="preserve"> </w:t>
                  </w:r>
                  <w:r>
                    <w:rPr>
                      <w:rFonts w:hAnsi="宋体"/>
                      <w:sz w:val="21"/>
                      <w:szCs w:val="21"/>
                    </w:rPr>
                    <w:t>行</w:t>
                  </w:r>
                  <w:r>
                    <w:rPr>
                      <w:sz w:val="21"/>
                      <w:szCs w:val="21"/>
                    </w:rPr>
                    <w:t xml:space="preserve"> </w:t>
                  </w:r>
                  <w:r>
                    <w:rPr>
                      <w:rFonts w:hAnsi="宋体"/>
                      <w:sz w:val="21"/>
                      <w:szCs w:val="21"/>
                    </w:rPr>
                    <w:t>标</w:t>
                  </w:r>
                  <w:r>
                    <w:rPr>
                      <w:sz w:val="21"/>
                      <w:szCs w:val="21"/>
                    </w:rPr>
                    <w:t xml:space="preserve"> </w:t>
                  </w:r>
                  <w:r>
                    <w:rPr>
                      <w:rFonts w:hAnsi="宋体"/>
                      <w:sz w:val="21"/>
                      <w:szCs w:val="21"/>
                    </w:rPr>
                    <w:t>准</w:t>
                  </w:r>
                </w:p>
              </w:tc>
              <w:tc>
                <w:tcPr>
                  <w:tcW w:w="1418" w:type="dxa"/>
                  <w:vAlign w:val="center"/>
                </w:tcPr>
                <w:p>
                  <w:pPr>
                    <w:snapToGrid w:val="0"/>
                    <w:jc w:val="center"/>
                    <w:rPr>
                      <w:sz w:val="21"/>
                      <w:szCs w:val="21"/>
                    </w:rPr>
                  </w:pPr>
                  <w:r>
                    <w:rPr>
                      <w:rFonts w:hAnsi="宋体"/>
                      <w:sz w:val="21"/>
                      <w:szCs w:val="21"/>
                    </w:rPr>
                    <w:t>取值表号</w:t>
                  </w:r>
                </w:p>
                <w:p>
                  <w:pPr>
                    <w:snapToGrid w:val="0"/>
                    <w:jc w:val="center"/>
                    <w:rPr>
                      <w:sz w:val="21"/>
                      <w:szCs w:val="21"/>
                    </w:rPr>
                  </w:pPr>
                  <w:r>
                    <w:rPr>
                      <w:rFonts w:hAnsi="宋体"/>
                      <w:sz w:val="21"/>
                      <w:szCs w:val="21"/>
                    </w:rPr>
                    <w:t>及级别</w:t>
                  </w:r>
                </w:p>
              </w:tc>
              <w:tc>
                <w:tcPr>
                  <w:tcW w:w="1264" w:type="dxa"/>
                  <w:vAlign w:val="center"/>
                </w:tcPr>
                <w:p>
                  <w:pPr>
                    <w:snapToGrid w:val="0"/>
                    <w:jc w:val="center"/>
                    <w:rPr>
                      <w:sz w:val="21"/>
                      <w:szCs w:val="21"/>
                    </w:rPr>
                  </w:pPr>
                  <w:r>
                    <w:rPr>
                      <w:rFonts w:hAnsi="宋体"/>
                      <w:sz w:val="21"/>
                      <w:szCs w:val="21"/>
                    </w:rPr>
                    <w:t>污染物</w:t>
                  </w:r>
                </w:p>
                <w:p>
                  <w:pPr>
                    <w:snapToGrid w:val="0"/>
                    <w:jc w:val="center"/>
                    <w:rPr>
                      <w:sz w:val="21"/>
                      <w:szCs w:val="21"/>
                    </w:rPr>
                  </w:pPr>
                  <w:r>
                    <w:rPr>
                      <w:rFonts w:hAnsi="宋体"/>
                      <w:sz w:val="21"/>
                      <w:szCs w:val="21"/>
                    </w:rPr>
                    <w:t>指标</w:t>
                  </w:r>
                </w:p>
              </w:tc>
              <w:tc>
                <w:tcPr>
                  <w:tcW w:w="1013" w:type="dxa"/>
                  <w:vAlign w:val="center"/>
                </w:tcPr>
                <w:p>
                  <w:pPr>
                    <w:snapToGrid w:val="0"/>
                    <w:jc w:val="center"/>
                    <w:rPr>
                      <w:sz w:val="21"/>
                      <w:szCs w:val="21"/>
                    </w:rPr>
                  </w:pPr>
                  <w:r>
                    <w:rPr>
                      <w:rFonts w:hAnsi="宋体"/>
                      <w:sz w:val="21"/>
                      <w:szCs w:val="21"/>
                    </w:rPr>
                    <w:t>标准</w:t>
                  </w:r>
                </w:p>
                <w:p>
                  <w:pPr>
                    <w:snapToGrid w:val="0"/>
                    <w:jc w:val="center"/>
                    <w:rPr>
                      <w:sz w:val="21"/>
                      <w:szCs w:val="21"/>
                    </w:rPr>
                  </w:pPr>
                  <w:r>
                    <w:rPr>
                      <w:rFonts w:hAnsi="宋体"/>
                      <w:sz w:val="21"/>
                      <w:szCs w:val="21"/>
                    </w:rPr>
                    <w:t>限值</w:t>
                  </w:r>
                </w:p>
              </w:tc>
              <w:tc>
                <w:tcPr>
                  <w:tcW w:w="1012" w:type="dxa"/>
                  <w:vAlign w:val="center"/>
                </w:tcPr>
                <w:p>
                  <w:pPr>
                    <w:snapToGrid w:val="0"/>
                    <w:jc w:val="center"/>
                    <w:rPr>
                      <w:sz w:val="21"/>
                      <w:szCs w:val="21"/>
                    </w:rPr>
                  </w:pPr>
                  <w:r>
                    <w:rPr>
                      <w:rFonts w:hAnsi="宋体"/>
                      <w:sz w:val="21"/>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restart"/>
                  <w:vAlign w:val="center"/>
                </w:tcPr>
                <w:p>
                  <w:pPr>
                    <w:snapToGrid w:val="0"/>
                    <w:jc w:val="center"/>
                    <w:rPr>
                      <w:sz w:val="21"/>
                      <w:szCs w:val="21"/>
                    </w:rPr>
                  </w:pPr>
                  <w:r>
                    <w:rPr>
                      <w:rFonts w:hAnsi="宋体"/>
                      <w:sz w:val="21"/>
                      <w:szCs w:val="21"/>
                    </w:rPr>
                    <w:t>厂排口</w:t>
                  </w:r>
                </w:p>
              </w:tc>
              <w:tc>
                <w:tcPr>
                  <w:tcW w:w="2018" w:type="dxa"/>
                  <w:vMerge w:val="restart"/>
                  <w:vAlign w:val="center"/>
                </w:tcPr>
                <w:p>
                  <w:pPr>
                    <w:snapToGrid w:val="0"/>
                    <w:jc w:val="center"/>
                    <w:rPr>
                      <w:rFonts w:hint="eastAsia"/>
                      <w:sz w:val="21"/>
                      <w:szCs w:val="21"/>
                    </w:rPr>
                  </w:pPr>
                  <w:r>
                    <w:rPr>
                      <w:rFonts w:hint="eastAsia"/>
                      <w:sz w:val="21"/>
                      <w:szCs w:val="21"/>
                    </w:rPr>
                    <w:t>开发区污水处理厂接管标准</w:t>
                  </w:r>
                </w:p>
              </w:tc>
              <w:tc>
                <w:tcPr>
                  <w:tcW w:w="1418" w:type="dxa"/>
                  <w:vMerge w:val="restart"/>
                  <w:vAlign w:val="center"/>
                </w:tcPr>
                <w:p>
                  <w:pPr>
                    <w:snapToGrid w:val="0"/>
                    <w:jc w:val="center"/>
                    <w:rPr>
                      <w:rFonts w:hint="eastAsia"/>
                      <w:sz w:val="21"/>
                      <w:szCs w:val="21"/>
                    </w:rPr>
                  </w:pPr>
                  <w:r>
                    <w:rPr>
                      <w:rFonts w:hint="eastAsia"/>
                      <w:sz w:val="21"/>
                      <w:szCs w:val="21"/>
                    </w:rPr>
                    <w:t>/</w:t>
                  </w:r>
                </w:p>
              </w:tc>
              <w:tc>
                <w:tcPr>
                  <w:tcW w:w="1264" w:type="dxa"/>
                  <w:vAlign w:val="center"/>
                </w:tcPr>
                <w:p>
                  <w:pPr>
                    <w:jc w:val="center"/>
                    <w:rPr>
                      <w:sz w:val="21"/>
                      <w:szCs w:val="21"/>
                    </w:rPr>
                  </w:pPr>
                  <w:r>
                    <w:rPr>
                      <w:sz w:val="21"/>
                      <w:szCs w:val="21"/>
                    </w:rPr>
                    <w:t>pH</w:t>
                  </w:r>
                </w:p>
              </w:tc>
              <w:tc>
                <w:tcPr>
                  <w:tcW w:w="1013" w:type="dxa"/>
                  <w:vAlign w:val="center"/>
                </w:tcPr>
                <w:p>
                  <w:pPr>
                    <w:snapToGrid w:val="0"/>
                    <w:jc w:val="center"/>
                    <w:rPr>
                      <w:sz w:val="21"/>
                      <w:szCs w:val="21"/>
                    </w:rPr>
                  </w:pPr>
                  <w:r>
                    <w:rPr>
                      <w:sz w:val="21"/>
                      <w:szCs w:val="21"/>
                    </w:rPr>
                    <w:t>6~9</w:t>
                  </w:r>
                </w:p>
              </w:tc>
              <w:tc>
                <w:tcPr>
                  <w:tcW w:w="1012" w:type="dxa"/>
                  <w:vAlign w:val="center"/>
                </w:tcPr>
                <w:p>
                  <w:pPr>
                    <w:snapToGrid w:val="0"/>
                    <w:jc w:val="center"/>
                    <w:rPr>
                      <w:sz w:val="21"/>
                      <w:szCs w:val="21"/>
                    </w:rPr>
                  </w:pPr>
                  <w:r>
                    <w:rPr>
                      <w:rFonts w:hAnsi="宋体"/>
                      <w:sz w:val="21"/>
                      <w:szCs w:val="21"/>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snapToGrid w:val="0"/>
                    <w:jc w:val="center"/>
                    <w:rPr>
                      <w:sz w:val="21"/>
                      <w:szCs w:val="21"/>
                    </w:rPr>
                  </w:pPr>
                </w:p>
              </w:tc>
              <w:tc>
                <w:tcPr>
                  <w:tcW w:w="2018" w:type="dxa"/>
                  <w:vMerge w:val="continue"/>
                  <w:vAlign w:val="center"/>
                </w:tcPr>
                <w:p>
                  <w:pPr>
                    <w:snapToGrid w:val="0"/>
                    <w:jc w:val="center"/>
                    <w:rPr>
                      <w:sz w:val="21"/>
                      <w:szCs w:val="21"/>
                    </w:rPr>
                  </w:pPr>
                </w:p>
              </w:tc>
              <w:tc>
                <w:tcPr>
                  <w:tcW w:w="1418" w:type="dxa"/>
                  <w:vMerge w:val="continue"/>
                  <w:vAlign w:val="center"/>
                </w:tcPr>
                <w:p>
                  <w:pPr>
                    <w:snapToGrid w:val="0"/>
                    <w:jc w:val="center"/>
                    <w:rPr>
                      <w:sz w:val="21"/>
                      <w:szCs w:val="21"/>
                    </w:rPr>
                  </w:pPr>
                </w:p>
              </w:tc>
              <w:tc>
                <w:tcPr>
                  <w:tcW w:w="1264" w:type="dxa"/>
                  <w:vAlign w:val="center"/>
                </w:tcPr>
                <w:p>
                  <w:pPr>
                    <w:jc w:val="center"/>
                    <w:rPr>
                      <w:sz w:val="21"/>
                      <w:szCs w:val="21"/>
                    </w:rPr>
                  </w:pPr>
                  <w:r>
                    <w:rPr>
                      <w:sz w:val="21"/>
                      <w:szCs w:val="21"/>
                    </w:rPr>
                    <w:t>COD</w:t>
                  </w:r>
                </w:p>
              </w:tc>
              <w:tc>
                <w:tcPr>
                  <w:tcW w:w="1013" w:type="dxa"/>
                  <w:vAlign w:val="center"/>
                </w:tcPr>
                <w:p>
                  <w:pPr>
                    <w:snapToGrid w:val="0"/>
                    <w:jc w:val="center"/>
                    <w:rPr>
                      <w:rFonts w:hint="eastAsia"/>
                      <w:sz w:val="21"/>
                      <w:szCs w:val="21"/>
                    </w:rPr>
                  </w:pPr>
                  <w:r>
                    <w:rPr>
                      <w:rFonts w:hint="eastAsia"/>
                      <w:sz w:val="21"/>
                      <w:szCs w:val="21"/>
                    </w:rPr>
                    <w:t>500</w:t>
                  </w:r>
                </w:p>
              </w:tc>
              <w:tc>
                <w:tcPr>
                  <w:tcW w:w="1012" w:type="dxa"/>
                  <w:vMerge w:val="restart"/>
                  <w:vAlign w:val="center"/>
                </w:tcPr>
                <w:p>
                  <w:pPr>
                    <w:snapToGrid w:val="0"/>
                    <w:jc w:val="center"/>
                    <w:rPr>
                      <w:sz w:val="21"/>
                      <w:szCs w:val="21"/>
                    </w:rPr>
                  </w:pPr>
                  <w:r>
                    <w:rPr>
                      <w:sz w:val="21"/>
                      <w:szCs w:val="21"/>
                    </w:rPr>
                    <w:t>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snapToGrid w:val="0"/>
                    <w:jc w:val="center"/>
                    <w:rPr>
                      <w:sz w:val="21"/>
                      <w:szCs w:val="21"/>
                    </w:rPr>
                  </w:pPr>
                </w:p>
              </w:tc>
              <w:tc>
                <w:tcPr>
                  <w:tcW w:w="2018" w:type="dxa"/>
                  <w:vMerge w:val="continue"/>
                  <w:vAlign w:val="center"/>
                </w:tcPr>
                <w:p>
                  <w:pPr>
                    <w:snapToGrid w:val="0"/>
                    <w:jc w:val="center"/>
                    <w:rPr>
                      <w:sz w:val="21"/>
                      <w:szCs w:val="21"/>
                    </w:rPr>
                  </w:pPr>
                </w:p>
              </w:tc>
              <w:tc>
                <w:tcPr>
                  <w:tcW w:w="1418" w:type="dxa"/>
                  <w:vMerge w:val="continue"/>
                  <w:vAlign w:val="center"/>
                </w:tcPr>
                <w:p>
                  <w:pPr>
                    <w:snapToGrid w:val="0"/>
                    <w:jc w:val="center"/>
                    <w:rPr>
                      <w:sz w:val="21"/>
                      <w:szCs w:val="21"/>
                    </w:rPr>
                  </w:pPr>
                </w:p>
              </w:tc>
              <w:tc>
                <w:tcPr>
                  <w:tcW w:w="1264" w:type="dxa"/>
                  <w:vAlign w:val="center"/>
                </w:tcPr>
                <w:p>
                  <w:pPr>
                    <w:jc w:val="center"/>
                    <w:rPr>
                      <w:sz w:val="21"/>
                      <w:szCs w:val="21"/>
                    </w:rPr>
                  </w:pPr>
                  <w:r>
                    <w:rPr>
                      <w:sz w:val="21"/>
                      <w:szCs w:val="21"/>
                    </w:rPr>
                    <w:t>SS</w:t>
                  </w:r>
                </w:p>
              </w:tc>
              <w:tc>
                <w:tcPr>
                  <w:tcW w:w="1013" w:type="dxa"/>
                  <w:vAlign w:val="center"/>
                </w:tcPr>
                <w:p>
                  <w:pPr>
                    <w:snapToGrid w:val="0"/>
                    <w:jc w:val="center"/>
                    <w:rPr>
                      <w:rFonts w:hint="eastAsia"/>
                      <w:sz w:val="21"/>
                      <w:szCs w:val="21"/>
                    </w:rPr>
                  </w:pPr>
                  <w:r>
                    <w:rPr>
                      <w:rFonts w:hint="eastAsia"/>
                      <w:sz w:val="21"/>
                      <w:szCs w:val="21"/>
                    </w:rPr>
                    <w:t>400</w:t>
                  </w:r>
                </w:p>
              </w:tc>
              <w:tc>
                <w:tcPr>
                  <w:tcW w:w="1012" w:type="dxa"/>
                  <w:vMerge w:val="continue"/>
                  <w:vAlign w:val="center"/>
                </w:tcPr>
                <w:p>
                  <w:pPr>
                    <w:snapToGrid w:val="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snapToGrid w:val="0"/>
                    <w:jc w:val="center"/>
                    <w:rPr>
                      <w:sz w:val="21"/>
                      <w:szCs w:val="21"/>
                    </w:rPr>
                  </w:pPr>
                </w:p>
              </w:tc>
              <w:tc>
                <w:tcPr>
                  <w:tcW w:w="2018" w:type="dxa"/>
                  <w:vMerge w:val="continue"/>
                  <w:vAlign w:val="center"/>
                </w:tcPr>
                <w:p>
                  <w:pPr>
                    <w:snapToGrid w:val="0"/>
                    <w:jc w:val="center"/>
                    <w:rPr>
                      <w:sz w:val="21"/>
                      <w:szCs w:val="21"/>
                    </w:rPr>
                  </w:pPr>
                </w:p>
              </w:tc>
              <w:tc>
                <w:tcPr>
                  <w:tcW w:w="1418" w:type="dxa"/>
                  <w:vMerge w:val="continue"/>
                  <w:vAlign w:val="center"/>
                </w:tcPr>
                <w:p>
                  <w:pPr>
                    <w:snapToGrid w:val="0"/>
                    <w:jc w:val="center"/>
                    <w:rPr>
                      <w:sz w:val="21"/>
                      <w:szCs w:val="21"/>
                    </w:rPr>
                  </w:pPr>
                </w:p>
              </w:tc>
              <w:tc>
                <w:tcPr>
                  <w:tcW w:w="1264" w:type="dxa"/>
                  <w:vAlign w:val="center"/>
                </w:tcPr>
                <w:p>
                  <w:pPr>
                    <w:jc w:val="center"/>
                    <w:rPr>
                      <w:sz w:val="21"/>
                      <w:szCs w:val="21"/>
                    </w:rPr>
                  </w:pPr>
                  <w:r>
                    <w:rPr>
                      <w:rFonts w:hAnsi="宋体"/>
                      <w:sz w:val="21"/>
                      <w:szCs w:val="21"/>
                    </w:rPr>
                    <w:t>氨氮</w:t>
                  </w:r>
                </w:p>
              </w:tc>
              <w:tc>
                <w:tcPr>
                  <w:tcW w:w="1013" w:type="dxa"/>
                  <w:vAlign w:val="center"/>
                </w:tcPr>
                <w:p>
                  <w:pPr>
                    <w:snapToGrid w:val="0"/>
                    <w:jc w:val="center"/>
                    <w:rPr>
                      <w:rFonts w:hint="eastAsia"/>
                      <w:sz w:val="21"/>
                      <w:szCs w:val="21"/>
                    </w:rPr>
                  </w:pPr>
                  <w:r>
                    <w:rPr>
                      <w:rFonts w:hint="eastAsia"/>
                      <w:sz w:val="21"/>
                      <w:szCs w:val="21"/>
                    </w:rPr>
                    <w:t>35</w:t>
                  </w:r>
                </w:p>
              </w:tc>
              <w:tc>
                <w:tcPr>
                  <w:tcW w:w="1012" w:type="dxa"/>
                  <w:vMerge w:val="continue"/>
                  <w:vAlign w:val="center"/>
                </w:tcPr>
                <w:p>
                  <w:pPr>
                    <w:snapToGrid w:val="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snapToGrid w:val="0"/>
                    <w:jc w:val="center"/>
                    <w:rPr>
                      <w:sz w:val="21"/>
                      <w:szCs w:val="21"/>
                    </w:rPr>
                  </w:pPr>
                </w:p>
              </w:tc>
              <w:tc>
                <w:tcPr>
                  <w:tcW w:w="2018" w:type="dxa"/>
                  <w:vMerge w:val="continue"/>
                  <w:vAlign w:val="center"/>
                </w:tcPr>
                <w:p>
                  <w:pPr>
                    <w:snapToGrid w:val="0"/>
                    <w:jc w:val="center"/>
                    <w:rPr>
                      <w:sz w:val="21"/>
                      <w:szCs w:val="21"/>
                    </w:rPr>
                  </w:pPr>
                </w:p>
              </w:tc>
              <w:tc>
                <w:tcPr>
                  <w:tcW w:w="1418" w:type="dxa"/>
                  <w:vMerge w:val="continue"/>
                  <w:vAlign w:val="center"/>
                </w:tcPr>
                <w:p>
                  <w:pPr>
                    <w:snapToGrid w:val="0"/>
                    <w:jc w:val="center"/>
                    <w:rPr>
                      <w:sz w:val="21"/>
                      <w:szCs w:val="21"/>
                    </w:rPr>
                  </w:pPr>
                </w:p>
              </w:tc>
              <w:tc>
                <w:tcPr>
                  <w:tcW w:w="1264" w:type="dxa"/>
                  <w:vAlign w:val="center"/>
                </w:tcPr>
                <w:p>
                  <w:pPr>
                    <w:jc w:val="center"/>
                    <w:rPr>
                      <w:sz w:val="21"/>
                      <w:szCs w:val="21"/>
                    </w:rPr>
                  </w:pPr>
                  <w:r>
                    <w:rPr>
                      <w:rFonts w:hAnsi="宋体"/>
                      <w:sz w:val="21"/>
                      <w:szCs w:val="21"/>
                    </w:rPr>
                    <w:t>总磷</w:t>
                  </w:r>
                </w:p>
              </w:tc>
              <w:tc>
                <w:tcPr>
                  <w:tcW w:w="1013" w:type="dxa"/>
                  <w:vAlign w:val="center"/>
                </w:tcPr>
                <w:p>
                  <w:pPr>
                    <w:snapToGrid w:val="0"/>
                    <w:jc w:val="center"/>
                    <w:rPr>
                      <w:rFonts w:hint="eastAsia"/>
                      <w:sz w:val="21"/>
                      <w:szCs w:val="21"/>
                    </w:rPr>
                  </w:pPr>
                  <w:r>
                    <w:rPr>
                      <w:rFonts w:hint="eastAsia"/>
                      <w:sz w:val="21"/>
                      <w:szCs w:val="21"/>
                    </w:rPr>
                    <w:t>8</w:t>
                  </w:r>
                </w:p>
              </w:tc>
              <w:tc>
                <w:tcPr>
                  <w:tcW w:w="1012" w:type="dxa"/>
                  <w:vMerge w:val="continue"/>
                  <w:vAlign w:val="center"/>
                </w:tcPr>
                <w:p>
                  <w:pPr>
                    <w:snapToGrid w:val="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restart"/>
                  <w:vAlign w:val="center"/>
                </w:tcPr>
                <w:p>
                  <w:pPr>
                    <w:jc w:val="center"/>
                    <w:rPr>
                      <w:sz w:val="21"/>
                      <w:szCs w:val="21"/>
                    </w:rPr>
                  </w:pPr>
                  <w:r>
                    <w:rPr>
                      <w:rFonts w:hint="eastAsia" w:hAnsi="宋体"/>
                      <w:sz w:val="21"/>
                      <w:szCs w:val="21"/>
                    </w:rPr>
                    <w:t>开发区污水处理厂</w:t>
                  </w:r>
                  <w:r>
                    <w:rPr>
                      <w:rFonts w:hAnsi="宋体"/>
                      <w:sz w:val="21"/>
                      <w:szCs w:val="21"/>
                    </w:rPr>
                    <w:t>排口</w:t>
                  </w:r>
                </w:p>
              </w:tc>
              <w:tc>
                <w:tcPr>
                  <w:tcW w:w="2018" w:type="dxa"/>
                  <w:vMerge w:val="restart"/>
                  <w:vAlign w:val="center"/>
                </w:tcPr>
                <w:p>
                  <w:pPr>
                    <w:jc w:val="center"/>
                    <w:rPr>
                      <w:color w:val="auto"/>
                      <w:sz w:val="21"/>
                      <w:szCs w:val="21"/>
                    </w:rPr>
                  </w:pPr>
                  <w:r>
                    <w:rPr>
                      <w:rFonts w:hAnsi="宋体"/>
                      <w:color w:val="auto"/>
                      <w:sz w:val="21"/>
                      <w:szCs w:val="21"/>
                    </w:rPr>
                    <w:t>《城镇污水处理厂污染物排放标准》（</w:t>
                  </w:r>
                  <w:r>
                    <w:rPr>
                      <w:color w:val="auto"/>
                      <w:sz w:val="21"/>
                      <w:szCs w:val="21"/>
                    </w:rPr>
                    <w:t>GB18918-2002</w:t>
                  </w:r>
                  <w:r>
                    <w:rPr>
                      <w:rFonts w:hAnsi="宋体"/>
                      <w:color w:val="auto"/>
                      <w:sz w:val="21"/>
                      <w:szCs w:val="21"/>
                    </w:rPr>
                    <w:t>）</w:t>
                  </w:r>
                </w:p>
              </w:tc>
              <w:tc>
                <w:tcPr>
                  <w:tcW w:w="1418" w:type="dxa"/>
                  <w:vMerge w:val="restart"/>
                  <w:vAlign w:val="center"/>
                </w:tcPr>
                <w:p>
                  <w:pPr>
                    <w:jc w:val="center"/>
                    <w:rPr>
                      <w:color w:val="auto"/>
                      <w:sz w:val="21"/>
                      <w:szCs w:val="21"/>
                    </w:rPr>
                  </w:pPr>
                  <w:r>
                    <w:rPr>
                      <w:rFonts w:hint="eastAsia"/>
                      <w:color w:val="auto"/>
                      <w:sz w:val="21"/>
                      <w:szCs w:val="21"/>
                    </w:rPr>
                    <w:t>《污水综合排放标准》（GB8978-1996）表4中一级标准</w:t>
                  </w:r>
                </w:p>
              </w:tc>
              <w:tc>
                <w:tcPr>
                  <w:tcW w:w="1264" w:type="dxa"/>
                  <w:vAlign w:val="center"/>
                </w:tcPr>
                <w:p>
                  <w:pPr>
                    <w:jc w:val="center"/>
                    <w:rPr>
                      <w:color w:val="auto"/>
                      <w:sz w:val="21"/>
                      <w:szCs w:val="21"/>
                    </w:rPr>
                  </w:pPr>
                  <w:r>
                    <w:rPr>
                      <w:color w:val="auto"/>
                      <w:sz w:val="21"/>
                      <w:szCs w:val="21"/>
                    </w:rPr>
                    <w:t>pH</w:t>
                  </w:r>
                </w:p>
              </w:tc>
              <w:tc>
                <w:tcPr>
                  <w:tcW w:w="1013" w:type="dxa"/>
                  <w:vAlign w:val="center"/>
                </w:tcPr>
                <w:p>
                  <w:pPr>
                    <w:jc w:val="center"/>
                    <w:rPr>
                      <w:sz w:val="21"/>
                      <w:szCs w:val="21"/>
                    </w:rPr>
                  </w:pPr>
                  <w:r>
                    <w:rPr>
                      <w:sz w:val="21"/>
                      <w:szCs w:val="21"/>
                    </w:rPr>
                    <w:t>6-9</w:t>
                  </w:r>
                </w:p>
              </w:tc>
              <w:tc>
                <w:tcPr>
                  <w:tcW w:w="1012" w:type="dxa"/>
                  <w:vAlign w:val="center"/>
                </w:tcPr>
                <w:p>
                  <w:pPr>
                    <w:jc w:val="center"/>
                    <w:rPr>
                      <w:sz w:val="21"/>
                      <w:szCs w:val="21"/>
                    </w:rPr>
                  </w:pPr>
                  <w:r>
                    <w:rPr>
                      <w:rFonts w:hAnsi="宋体"/>
                      <w:sz w:val="21"/>
                      <w:szCs w:val="21"/>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jc w:val="center"/>
                    <w:rPr>
                      <w:sz w:val="21"/>
                      <w:szCs w:val="21"/>
                    </w:rPr>
                  </w:pPr>
                </w:p>
              </w:tc>
              <w:tc>
                <w:tcPr>
                  <w:tcW w:w="2018" w:type="dxa"/>
                  <w:vMerge w:val="continue"/>
                  <w:vAlign w:val="center"/>
                </w:tcPr>
                <w:p>
                  <w:pPr>
                    <w:jc w:val="center"/>
                    <w:rPr>
                      <w:color w:val="auto"/>
                      <w:sz w:val="21"/>
                      <w:szCs w:val="21"/>
                    </w:rPr>
                  </w:pPr>
                </w:p>
              </w:tc>
              <w:tc>
                <w:tcPr>
                  <w:tcW w:w="1418" w:type="dxa"/>
                  <w:vMerge w:val="continue"/>
                  <w:vAlign w:val="center"/>
                </w:tcPr>
                <w:p>
                  <w:pPr>
                    <w:jc w:val="center"/>
                    <w:rPr>
                      <w:color w:val="auto"/>
                      <w:sz w:val="21"/>
                      <w:szCs w:val="21"/>
                    </w:rPr>
                  </w:pPr>
                </w:p>
              </w:tc>
              <w:tc>
                <w:tcPr>
                  <w:tcW w:w="1264" w:type="dxa"/>
                  <w:vAlign w:val="center"/>
                </w:tcPr>
                <w:p>
                  <w:pPr>
                    <w:jc w:val="center"/>
                    <w:rPr>
                      <w:color w:val="auto"/>
                      <w:sz w:val="21"/>
                      <w:szCs w:val="21"/>
                    </w:rPr>
                  </w:pPr>
                  <w:r>
                    <w:rPr>
                      <w:color w:val="auto"/>
                      <w:sz w:val="21"/>
                      <w:szCs w:val="21"/>
                    </w:rPr>
                    <w:t>SS</w:t>
                  </w:r>
                </w:p>
              </w:tc>
              <w:tc>
                <w:tcPr>
                  <w:tcW w:w="1013" w:type="dxa"/>
                  <w:vAlign w:val="center"/>
                </w:tcPr>
                <w:p>
                  <w:pPr>
                    <w:jc w:val="center"/>
                    <w:rPr>
                      <w:rFonts w:hint="eastAsia"/>
                      <w:sz w:val="21"/>
                      <w:szCs w:val="21"/>
                    </w:rPr>
                  </w:pPr>
                  <w:r>
                    <w:rPr>
                      <w:rFonts w:hint="eastAsia"/>
                      <w:sz w:val="21"/>
                      <w:szCs w:val="21"/>
                    </w:rPr>
                    <w:t>70</w:t>
                  </w:r>
                </w:p>
              </w:tc>
              <w:tc>
                <w:tcPr>
                  <w:tcW w:w="1012" w:type="dxa"/>
                  <w:vMerge w:val="restart"/>
                  <w:vAlign w:val="center"/>
                </w:tcPr>
                <w:p>
                  <w:pPr>
                    <w:jc w:val="center"/>
                    <w:rPr>
                      <w:sz w:val="21"/>
                      <w:szCs w:val="21"/>
                    </w:rPr>
                  </w:pPr>
                  <w:r>
                    <w:rPr>
                      <w:sz w:val="21"/>
                      <w:szCs w:val="21"/>
                    </w:rPr>
                    <w:t>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snapToGrid w:val="0"/>
                    <w:jc w:val="center"/>
                    <w:rPr>
                      <w:sz w:val="21"/>
                      <w:szCs w:val="21"/>
                    </w:rPr>
                  </w:pPr>
                </w:p>
              </w:tc>
              <w:tc>
                <w:tcPr>
                  <w:tcW w:w="2018" w:type="dxa"/>
                  <w:vMerge w:val="continue"/>
                  <w:vAlign w:val="center"/>
                </w:tcPr>
                <w:p>
                  <w:pPr>
                    <w:jc w:val="center"/>
                    <w:rPr>
                      <w:color w:val="auto"/>
                      <w:sz w:val="21"/>
                      <w:szCs w:val="21"/>
                    </w:rPr>
                  </w:pPr>
                </w:p>
              </w:tc>
              <w:tc>
                <w:tcPr>
                  <w:tcW w:w="1418" w:type="dxa"/>
                  <w:vMerge w:val="continue"/>
                  <w:vAlign w:val="center"/>
                </w:tcPr>
                <w:p>
                  <w:pPr>
                    <w:jc w:val="center"/>
                    <w:rPr>
                      <w:color w:val="auto"/>
                      <w:sz w:val="21"/>
                      <w:szCs w:val="21"/>
                    </w:rPr>
                  </w:pPr>
                </w:p>
              </w:tc>
              <w:tc>
                <w:tcPr>
                  <w:tcW w:w="1264" w:type="dxa"/>
                  <w:vAlign w:val="center"/>
                </w:tcPr>
                <w:p>
                  <w:pPr>
                    <w:jc w:val="center"/>
                    <w:rPr>
                      <w:color w:val="auto"/>
                      <w:sz w:val="21"/>
                      <w:szCs w:val="21"/>
                    </w:rPr>
                  </w:pPr>
                  <w:r>
                    <w:rPr>
                      <w:color w:val="auto"/>
                      <w:sz w:val="21"/>
                      <w:szCs w:val="21"/>
                    </w:rPr>
                    <w:t>COD</w:t>
                  </w:r>
                </w:p>
              </w:tc>
              <w:tc>
                <w:tcPr>
                  <w:tcW w:w="1013" w:type="dxa"/>
                  <w:vAlign w:val="center"/>
                </w:tcPr>
                <w:p>
                  <w:pPr>
                    <w:jc w:val="center"/>
                    <w:rPr>
                      <w:rFonts w:hint="eastAsia"/>
                      <w:sz w:val="21"/>
                      <w:szCs w:val="21"/>
                    </w:rPr>
                  </w:pPr>
                  <w:r>
                    <w:rPr>
                      <w:rFonts w:hint="eastAsia"/>
                      <w:sz w:val="21"/>
                      <w:szCs w:val="21"/>
                    </w:rPr>
                    <w:t>100</w:t>
                  </w:r>
                </w:p>
              </w:tc>
              <w:tc>
                <w:tcPr>
                  <w:tcW w:w="1012" w:type="dxa"/>
                  <w:vMerge w:val="continue"/>
                  <w:vAlign w:val="center"/>
                </w:tcPr>
                <w:p>
                  <w:pPr>
                    <w:snapToGrid w:val="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snapToGrid w:val="0"/>
                    <w:jc w:val="center"/>
                    <w:rPr>
                      <w:sz w:val="21"/>
                      <w:szCs w:val="21"/>
                    </w:rPr>
                  </w:pPr>
                </w:p>
              </w:tc>
              <w:tc>
                <w:tcPr>
                  <w:tcW w:w="2018" w:type="dxa"/>
                  <w:vMerge w:val="continue"/>
                  <w:vAlign w:val="center"/>
                </w:tcPr>
                <w:p>
                  <w:pPr>
                    <w:jc w:val="center"/>
                    <w:rPr>
                      <w:sz w:val="21"/>
                      <w:szCs w:val="21"/>
                    </w:rPr>
                  </w:pPr>
                </w:p>
              </w:tc>
              <w:tc>
                <w:tcPr>
                  <w:tcW w:w="1418" w:type="dxa"/>
                  <w:vMerge w:val="continue"/>
                  <w:vAlign w:val="center"/>
                </w:tcPr>
                <w:p>
                  <w:pPr>
                    <w:jc w:val="center"/>
                    <w:rPr>
                      <w:sz w:val="21"/>
                      <w:szCs w:val="21"/>
                    </w:rPr>
                  </w:pPr>
                </w:p>
              </w:tc>
              <w:tc>
                <w:tcPr>
                  <w:tcW w:w="1264" w:type="dxa"/>
                  <w:vAlign w:val="center"/>
                </w:tcPr>
                <w:p>
                  <w:pPr>
                    <w:jc w:val="center"/>
                    <w:rPr>
                      <w:sz w:val="21"/>
                      <w:szCs w:val="21"/>
                    </w:rPr>
                  </w:pPr>
                  <w:r>
                    <w:rPr>
                      <w:rFonts w:hAnsi="宋体"/>
                      <w:sz w:val="21"/>
                      <w:szCs w:val="21"/>
                    </w:rPr>
                    <w:t>氨氮</w:t>
                  </w:r>
                </w:p>
              </w:tc>
              <w:tc>
                <w:tcPr>
                  <w:tcW w:w="1013" w:type="dxa"/>
                  <w:vAlign w:val="center"/>
                </w:tcPr>
                <w:p>
                  <w:pPr>
                    <w:jc w:val="center"/>
                    <w:rPr>
                      <w:sz w:val="21"/>
                      <w:szCs w:val="21"/>
                    </w:rPr>
                  </w:pPr>
                  <w:r>
                    <w:rPr>
                      <w:rFonts w:hint="eastAsia"/>
                      <w:sz w:val="21"/>
                      <w:szCs w:val="21"/>
                    </w:rPr>
                    <w:t>15</w:t>
                  </w:r>
                </w:p>
              </w:tc>
              <w:tc>
                <w:tcPr>
                  <w:tcW w:w="1012" w:type="dxa"/>
                  <w:vMerge w:val="continue"/>
                  <w:vAlign w:val="center"/>
                </w:tcPr>
                <w:p>
                  <w:pPr>
                    <w:snapToGrid w:val="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68" w:type="dxa"/>
                  <w:vMerge w:val="continue"/>
                  <w:vAlign w:val="center"/>
                </w:tcPr>
                <w:p>
                  <w:pPr>
                    <w:snapToGrid w:val="0"/>
                    <w:jc w:val="center"/>
                    <w:rPr>
                      <w:sz w:val="21"/>
                      <w:szCs w:val="21"/>
                    </w:rPr>
                  </w:pPr>
                </w:p>
              </w:tc>
              <w:tc>
                <w:tcPr>
                  <w:tcW w:w="2018" w:type="dxa"/>
                  <w:vMerge w:val="continue"/>
                  <w:vAlign w:val="center"/>
                </w:tcPr>
                <w:p>
                  <w:pPr>
                    <w:jc w:val="center"/>
                    <w:rPr>
                      <w:sz w:val="21"/>
                      <w:szCs w:val="21"/>
                    </w:rPr>
                  </w:pPr>
                </w:p>
              </w:tc>
              <w:tc>
                <w:tcPr>
                  <w:tcW w:w="1418" w:type="dxa"/>
                  <w:vMerge w:val="continue"/>
                  <w:vAlign w:val="center"/>
                </w:tcPr>
                <w:p>
                  <w:pPr>
                    <w:jc w:val="center"/>
                    <w:rPr>
                      <w:sz w:val="21"/>
                      <w:szCs w:val="21"/>
                    </w:rPr>
                  </w:pPr>
                </w:p>
              </w:tc>
              <w:tc>
                <w:tcPr>
                  <w:tcW w:w="1264" w:type="dxa"/>
                  <w:vAlign w:val="center"/>
                </w:tcPr>
                <w:p>
                  <w:pPr>
                    <w:jc w:val="center"/>
                    <w:rPr>
                      <w:sz w:val="21"/>
                      <w:szCs w:val="21"/>
                    </w:rPr>
                  </w:pPr>
                  <w:r>
                    <w:rPr>
                      <w:rFonts w:hAnsi="宋体"/>
                      <w:sz w:val="21"/>
                      <w:szCs w:val="21"/>
                    </w:rPr>
                    <w:t>总磷</w:t>
                  </w:r>
                </w:p>
              </w:tc>
              <w:tc>
                <w:tcPr>
                  <w:tcW w:w="1013" w:type="dxa"/>
                  <w:vAlign w:val="center"/>
                </w:tcPr>
                <w:p>
                  <w:pPr>
                    <w:jc w:val="center"/>
                    <w:rPr>
                      <w:sz w:val="21"/>
                      <w:szCs w:val="21"/>
                    </w:rPr>
                  </w:pPr>
                  <w:r>
                    <w:rPr>
                      <w:rFonts w:hint="eastAsia"/>
                      <w:sz w:val="21"/>
                      <w:szCs w:val="21"/>
                    </w:rPr>
                    <w:t>0.5</w:t>
                  </w:r>
                </w:p>
              </w:tc>
              <w:tc>
                <w:tcPr>
                  <w:tcW w:w="1012" w:type="dxa"/>
                  <w:vMerge w:val="continue"/>
                  <w:vAlign w:val="center"/>
                </w:tcPr>
                <w:p>
                  <w:pPr>
                    <w:snapToGrid w:val="0"/>
                    <w:jc w:val="center"/>
                    <w:rPr>
                      <w:sz w:val="21"/>
                      <w:szCs w:val="21"/>
                    </w:rPr>
                  </w:pPr>
                </w:p>
              </w:tc>
            </w:tr>
          </w:tbl>
          <w:p>
            <w:pPr>
              <w:spacing w:line="440" w:lineRule="exact"/>
              <w:ind w:firstLine="480" w:firstLineChars="200"/>
              <w:rPr>
                <w:sz w:val="24"/>
                <w:szCs w:val="24"/>
              </w:rPr>
            </w:pPr>
            <w:r>
              <w:rPr>
                <w:sz w:val="24"/>
                <w:szCs w:val="24"/>
              </w:rPr>
              <w:t>2、大气污染物排放标准</w:t>
            </w:r>
          </w:p>
          <w:p>
            <w:pPr>
              <w:spacing w:line="440" w:lineRule="exact"/>
              <w:ind w:firstLine="480" w:firstLineChars="200"/>
              <w:rPr>
                <w:rFonts w:hint="eastAsia"/>
                <w:sz w:val="24"/>
                <w:szCs w:val="24"/>
              </w:rPr>
            </w:pPr>
            <w:r>
              <w:rPr>
                <w:rFonts w:hint="eastAsia"/>
                <w:sz w:val="24"/>
                <w:szCs w:val="24"/>
              </w:rPr>
              <w:t>建设项目运营期大气污染物主要为运输车辆的汽车尾气及扬尘，执行《大气污染物综合排放标准》（GB16297-1996）新污染源二级标准，具体</w:t>
            </w:r>
            <w:r>
              <w:rPr>
                <w:sz w:val="24"/>
                <w:szCs w:val="24"/>
              </w:rPr>
              <w:t>限值见表</w:t>
            </w:r>
            <w:r>
              <w:rPr>
                <w:rFonts w:hint="eastAsia"/>
                <w:sz w:val="24"/>
                <w:szCs w:val="24"/>
              </w:rPr>
              <w:t>16</w:t>
            </w:r>
            <w:r>
              <w:rPr>
                <w:sz w:val="24"/>
                <w:szCs w:val="24"/>
              </w:rPr>
              <w:t>。</w:t>
            </w:r>
          </w:p>
          <w:p>
            <w:pPr>
              <w:jc w:val="center"/>
              <w:rPr>
                <w:sz w:val="24"/>
              </w:rPr>
            </w:pPr>
            <w:r>
              <w:rPr>
                <w:sz w:val="24"/>
              </w:rPr>
              <w:t>表</w:t>
            </w:r>
            <w:r>
              <w:rPr>
                <w:rFonts w:hint="eastAsia"/>
                <w:sz w:val="24"/>
              </w:rPr>
              <w:t>16</w:t>
            </w:r>
            <w:r>
              <w:rPr>
                <w:sz w:val="24"/>
                <w:szCs w:val="24"/>
              </w:rPr>
              <w:t>大气污染物排放标准限值表</w:t>
            </w:r>
          </w:p>
          <w:tbl>
            <w:tblPr>
              <w:tblStyle w:val="34"/>
              <w:tblW w:w="82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52"/>
              <w:gridCol w:w="2586"/>
              <w:gridCol w:w="2372"/>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952" w:type="dxa"/>
                  <w:vMerge w:val="restart"/>
                  <w:vAlign w:val="center"/>
                </w:tcPr>
                <w:p>
                  <w:pPr>
                    <w:adjustRightInd w:val="0"/>
                    <w:snapToGrid w:val="0"/>
                    <w:spacing w:line="320" w:lineRule="exact"/>
                    <w:jc w:val="center"/>
                    <w:rPr>
                      <w:bCs/>
                      <w:sz w:val="21"/>
                    </w:rPr>
                  </w:pPr>
                  <w:r>
                    <w:rPr>
                      <w:bCs/>
                      <w:sz w:val="21"/>
                    </w:rPr>
                    <w:t>污染物</w:t>
                  </w:r>
                </w:p>
              </w:tc>
              <w:tc>
                <w:tcPr>
                  <w:tcW w:w="2586" w:type="dxa"/>
                  <w:vMerge w:val="restart"/>
                  <w:vAlign w:val="center"/>
                </w:tcPr>
                <w:p>
                  <w:pPr>
                    <w:adjustRightInd w:val="0"/>
                    <w:snapToGrid w:val="0"/>
                    <w:spacing w:line="320" w:lineRule="exact"/>
                    <w:jc w:val="center"/>
                    <w:rPr>
                      <w:bCs/>
                      <w:sz w:val="21"/>
                    </w:rPr>
                  </w:pPr>
                  <w:r>
                    <w:rPr>
                      <w:bCs/>
                      <w:sz w:val="21"/>
                    </w:rPr>
                    <w:t>最高允许排放浓度mg/m</w:t>
                  </w:r>
                  <w:r>
                    <w:rPr>
                      <w:bCs/>
                      <w:sz w:val="21"/>
                      <w:vertAlign w:val="superscript"/>
                    </w:rPr>
                    <w:t>3</w:t>
                  </w:r>
                </w:p>
              </w:tc>
              <w:tc>
                <w:tcPr>
                  <w:tcW w:w="3726" w:type="dxa"/>
                  <w:gridSpan w:val="2"/>
                  <w:vAlign w:val="center"/>
                </w:tcPr>
                <w:p>
                  <w:pPr>
                    <w:adjustRightInd w:val="0"/>
                    <w:snapToGrid w:val="0"/>
                    <w:spacing w:line="320" w:lineRule="exact"/>
                    <w:jc w:val="center"/>
                    <w:rPr>
                      <w:bCs/>
                      <w:sz w:val="21"/>
                    </w:rPr>
                  </w:pPr>
                  <w:r>
                    <w:rPr>
                      <w:bCs/>
                      <w:sz w:val="21"/>
                    </w:rPr>
                    <w:t>无组织排放</w:t>
                  </w:r>
                  <w:r>
                    <w:rPr>
                      <w:rFonts w:hint="eastAsia"/>
                      <w:bCs/>
                      <w:sz w:val="21"/>
                    </w:rPr>
                    <w:t>监控浓度</w:t>
                  </w:r>
                  <w:r>
                    <w:rPr>
                      <w:bCs/>
                      <w:sz w:val="21"/>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952" w:type="dxa"/>
                  <w:vMerge w:val="continue"/>
                  <w:vAlign w:val="center"/>
                </w:tcPr>
                <w:p>
                  <w:pPr>
                    <w:adjustRightInd w:val="0"/>
                    <w:snapToGrid w:val="0"/>
                    <w:spacing w:line="320" w:lineRule="exact"/>
                    <w:jc w:val="center"/>
                    <w:rPr>
                      <w:bCs/>
                      <w:sz w:val="21"/>
                    </w:rPr>
                  </w:pPr>
                </w:p>
              </w:tc>
              <w:tc>
                <w:tcPr>
                  <w:tcW w:w="2586" w:type="dxa"/>
                  <w:vMerge w:val="continue"/>
                  <w:vAlign w:val="center"/>
                </w:tcPr>
                <w:p>
                  <w:pPr>
                    <w:adjustRightInd w:val="0"/>
                    <w:snapToGrid w:val="0"/>
                    <w:spacing w:line="320" w:lineRule="exact"/>
                    <w:jc w:val="center"/>
                    <w:rPr>
                      <w:bCs/>
                      <w:sz w:val="21"/>
                    </w:rPr>
                  </w:pPr>
                </w:p>
              </w:tc>
              <w:tc>
                <w:tcPr>
                  <w:tcW w:w="2372" w:type="dxa"/>
                  <w:vAlign w:val="center"/>
                </w:tcPr>
                <w:p>
                  <w:pPr>
                    <w:adjustRightInd w:val="0"/>
                    <w:snapToGrid w:val="0"/>
                    <w:spacing w:line="320" w:lineRule="exact"/>
                    <w:jc w:val="center"/>
                    <w:rPr>
                      <w:bCs/>
                      <w:sz w:val="21"/>
                    </w:rPr>
                  </w:pPr>
                  <w:r>
                    <w:rPr>
                      <w:bCs/>
                      <w:sz w:val="21"/>
                    </w:rPr>
                    <w:t>监控点</w:t>
                  </w:r>
                </w:p>
              </w:tc>
              <w:tc>
                <w:tcPr>
                  <w:tcW w:w="1354" w:type="dxa"/>
                  <w:vAlign w:val="center"/>
                </w:tcPr>
                <w:p>
                  <w:pPr>
                    <w:adjustRightInd w:val="0"/>
                    <w:snapToGrid w:val="0"/>
                    <w:spacing w:line="320" w:lineRule="exact"/>
                    <w:jc w:val="center"/>
                    <w:rPr>
                      <w:bCs/>
                      <w:sz w:val="21"/>
                    </w:rPr>
                  </w:pPr>
                  <w:r>
                    <w:rPr>
                      <w:bCs/>
                      <w:sz w:val="21"/>
                    </w:rPr>
                    <w:t>浓度mg/m</w:t>
                  </w:r>
                  <w:r>
                    <w:rPr>
                      <w:bCs/>
                      <w:sz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952" w:type="dxa"/>
                  <w:vAlign w:val="center"/>
                </w:tcPr>
                <w:p>
                  <w:pPr>
                    <w:adjustRightInd w:val="0"/>
                    <w:snapToGrid w:val="0"/>
                    <w:spacing w:line="320" w:lineRule="exact"/>
                    <w:jc w:val="center"/>
                    <w:rPr>
                      <w:bCs/>
                      <w:sz w:val="21"/>
                    </w:rPr>
                  </w:pPr>
                  <w:r>
                    <w:rPr>
                      <w:rFonts w:hint="eastAsia"/>
                      <w:bCs/>
                      <w:sz w:val="21"/>
                    </w:rPr>
                    <w:t>颗粒物</w:t>
                  </w:r>
                </w:p>
              </w:tc>
              <w:tc>
                <w:tcPr>
                  <w:tcW w:w="2586" w:type="dxa"/>
                  <w:vAlign w:val="center"/>
                </w:tcPr>
                <w:p>
                  <w:pPr>
                    <w:adjustRightInd w:val="0"/>
                    <w:snapToGrid w:val="0"/>
                    <w:spacing w:line="320" w:lineRule="exact"/>
                    <w:jc w:val="center"/>
                    <w:rPr>
                      <w:bCs/>
                      <w:sz w:val="21"/>
                    </w:rPr>
                  </w:pPr>
                  <w:r>
                    <w:rPr>
                      <w:rFonts w:hint="eastAsia"/>
                      <w:bCs/>
                      <w:sz w:val="21"/>
                    </w:rPr>
                    <w:t>120</w:t>
                  </w:r>
                </w:p>
              </w:tc>
              <w:tc>
                <w:tcPr>
                  <w:tcW w:w="2372" w:type="dxa"/>
                  <w:vMerge w:val="restart"/>
                  <w:vAlign w:val="center"/>
                </w:tcPr>
                <w:p>
                  <w:pPr>
                    <w:adjustRightInd w:val="0"/>
                    <w:snapToGrid w:val="0"/>
                    <w:spacing w:line="320" w:lineRule="exact"/>
                    <w:jc w:val="center"/>
                    <w:rPr>
                      <w:bCs/>
                      <w:sz w:val="21"/>
                    </w:rPr>
                  </w:pPr>
                  <w:r>
                    <w:rPr>
                      <w:rFonts w:hint="eastAsia"/>
                      <w:bCs/>
                      <w:sz w:val="21"/>
                    </w:rPr>
                    <w:t>周界外浓度最高点</w:t>
                  </w:r>
                </w:p>
              </w:tc>
              <w:tc>
                <w:tcPr>
                  <w:tcW w:w="1354" w:type="dxa"/>
                  <w:vAlign w:val="center"/>
                </w:tcPr>
                <w:p>
                  <w:pPr>
                    <w:adjustRightInd w:val="0"/>
                    <w:snapToGrid w:val="0"/>
                    <w:spacing w:line="320" w:lineRule="exact"/>
                    <w:jc w:val="center"/>
                    <w:rPr>
                      <w:bCs/>
                      <w:sz w:val="21"/>
                    </w:rPr>
                  </w:pPr>
                  <w:r>
                    <w:rPr>
                      <w:rFonts w:hint="eastAsia"/>
                      <w:bCs/>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952" w:type="dxa"/>
                  <w:vAlign w:val="center"/>
                </w:tcPr>
                <w:p>
                  <w:pPr>
                    <w:adjustRightInd w:val="0"/>
                    <w:snapToGrid w:val="0"/>
                    <w:spacing w:line="320" w:lineRule="exact"/>
                    <w:jc w:val="center"/>
                    <w:rPr>
                      <w:rFonts w:hint="eastAsia"/>
                      <w:bCs/>
                      <w:sz w:val="21"/>
                    </w:rPr>
                  </w:pPr>
                  <w:r>
                    <w:rPr>
                      <w:rFonts w:hint="eastAsia"/>
                      <w:bCs/>
                      <w:sz w:val="21"/>
                    </w:rPr>
                    <w:t>NO</w:t>
                  </w:r>
                  <w:r>
                    <w:rPr>
                      <w:rFonts w:hint="eastAsia"/>
                      <w:bCs/>
                      <w:sz w:val="21"/>
                      <w:vertAlign w:val="subscript"/>
                    </w:rPr>
                    <w:t>x</w:t>
                  </w:r>
                </w:p>
              </w:tc>
              <w:tc>
                <w:tcPr>
                  <w:tcW w:w="2586" w:type="dxa"/>
                  <w:vAlign w:val="center"/>
                </w:tcPr>
                <w:p>
                  <w:pPr>
                    <w:adjustRightInd w:val="0"/>
                    <w:snapToGrid w:val="0"/>
                    <w:spacing w:line="320" w:lineRule="exact"/>
                    <w:jc w:val="center"/>
                    <w:rPr>
                      <w:rFonts w:hint="eastAsia"/>
                      <w:bCs/>
                      <w:sz w:val="21"/>
                    </w:rPr>
                  </w:pPr>
                  <w:r>
                    <w:rPr>
                      <w:rFonts w:hint="eastAsia"/>
                      <w:bCs/>
                      <w:sz w:val="21"/>
                    </w:rPr>
                    <w:t>240</w:t>
                  </w:r>
                </w:p>
              </w:tc>
              <w:tc>
                <w:tcPr>
                  <w:tcW w:w="2372" w:type="dxa"/>
                  <w:vMerge w:val="continue"/>
                  <w:vAlign w:val="center"/>
                </w:tcPr>
                <w:p>
                  <w:pPr>
                    <w:adjustRightInd w:val="0"/>
                    <w:snapToGrid w:val="0"/>
                    <w:spacing w:line="320" w:lineRule="exact"/>
                    <w:jc w:val="center"/>
                    <w:rPr>
                      <w:rFonts w:hint="eastAsia"/>
                      <w:bCs/>
                      <w:sz w:val="21"/>
                    </w:rPr>
                  </w:pPr>
                </w:p>
              </w:tc>
              <w:tc>
                <w:tcPr>
                  <w:tcW w:w="1354" w:type="dxa"/>
                  <w:vAlign w:val="center"/>
                </w:tcPr>
                <w:p>
                  <w:pPr>
                    <w:adjustRightInd w:val="0"/>
                    <w:snapToGrid w:val="0"/>
                    <w:spacing w:line="320" w:lineRule="exact"/>
                    <w:jc w:val="center"/>
                    <w:rPr>
                      <w:rFonts w:hint="eastAsia"/>
                      <w:bCs/>
                      <w:sz w:val="21"/>
                    </w:rPr>
                  </w:pPr>
                  <w:r>
                    <w:rPr>
                      <w:rFonts w:hint="eastAsia"/>
                      <w:bCs/>
                      <w:sz w:val="21"/>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952" w:type="dxa"/>
                  <w:vAlign w:val="center"/>
                </w:tcPr>
                <w:p>
                  <w:pPr>
                    <w:adjustRightInd w:val="0"/>
                    <w:snapToGrid w:val="0"/>
                    <w:spacing w:line="320" w:lineRule="exact"/>
                    <w:jc w:val="center"/>
                    <w:rPr>
                      <w:rFonts w:hint="eastAsia"/>
                      <w:bCs/>
                      <w:sz w:val="21"/>
                    </w:rPr>
                  </w:pPr>
                  <w:r>
                    <w:rPr>
                      <w:rFonts w:hint="eastAsia"/>
                      <w:bCs/>
                      <w:sz w:val="21"/>
                    </w:rPr>
                    <w:t>SO</w:t>
                  </w:r>
                  <w:r>
                    <w:rPr>
                      <w:rFonts w:hint="eastAsia"/>
                      <w:bCs/>
                      <w:sz w:val="21"/>
                      <w:vertAlign w:val="subscript"/>
                    </w:rPr>
                    <w:t>2</w:t>
                  </w:r>
                </w:p>
              </w:tc>
              <w:tc>
                <w:tcPr>
                  <w:tcW w:w="2586" w:type="dxa"/>
                  <w:vAlign w:val="center"/>
                </w:tcPr>
                <w:p>
                  <w:pPr>
                    <w:adjustRightInd w:val="0"/>
                    <w:snapToGrid w:val="0"/>
                    <w:spacing w:line="320" w:lineRule="exact"/>
                    <w:jc w:val="center"/>
                    <w:rPr>
                      <w:rFonts w:hint="eastAsia"/>
                      <w:bCs/>
                      <w:sz w:val="21"/>
                    </w:rPr>
                  </w:pPr>
                  <w:r>
                    <w:rPr>
                      <w:rFonts w:hint="eastAsia"/>
                      <w:bCs/>
                      <w:sz w:val="21"/>
                    </w:rPr>
                    <w:t>550</w:t>
                  </w:r>
                </w:p>
              </w:tc>
              <w:tc>
                <w:tcPr>
                  <w:tcW w:w="2372" w:type="dxa"/>
                  <w:vMerge w:val="continue"/>
                  <w:vAlign w:val="center"/>
                </w:tcPr>
                <w:p>
                  <w:pPr>
                    <w:adjustRightInd w:val="0"/>
                    <w:snapToGrid w:val="0"/>
                    <w:spacing w:line="320" w:lineRule="exact"/>
                    <w:jc w:val="center"/>
                    <w:rPr>
                      <w:rFonts w:hint="eastAsia"/>
                      <w:bCs/>
                      <w:sz w:val="21"/>
                    </w:rPr>
                  </w:pPr>
                </w:p>
              </w:tc>
              <w:tc>
                <w:tcPr>
                  <w:tcW w:w="1354" w:type="dxa"/>
                  <w:vAlign w:val="center"/>
                </w:tcPr>
                <w:p>
                  <w:pPr>
                    <w:adjustRightInd w:val="0"/>
                    <w:snapToGrid w:val="0"/>
                    <w:spacing w:line="320" w:lineRule="exact"/>
                    <w:jc w:val="center"/>
                    <w:rPr>
                      <w:rFonts w:hint="eastAsia"/>
                      <w:bCs/>
                      <w:sz w:val="21"/>
                    </w:rPr>
                  </w:pPr>
                  <w:r>
                    <w:rPr>
                      <w:rFonts w:hint="eastAsia"/>
                      <w:bCs/>
                      <w:sz w:val="21"/>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952" w:type="dxa"/>
                  <w:vAlign w:val="center"/>
                </w:tcPr>
                <w:p>
                  <w:pPr>
                    <w:adjustRightInd w:val="0"/>
                    <w:snapToGrid w:val="0"/>
                    <w:spacing w:line="320" w:lineRule="exact"/>
                    <w:jc w:val="center"/>
                    <w:rPr>
                      <w:rFonts w:hint="eastAsia"/>
                      <w:bCs/>
                      <w:sz w:val="21"/>
                    </w:rPr>
                  </w:pPr>
                  <w:r>
                    <w:rPr>
                      <w:rFonts w:hint="eastAsia"/>
                      <w:bCs/>
                      <w:sz w:val="21"/>
                    </w:rPr>
                    <w:t>非甲烷总烃</w:t>
                  </w:r>
                </w:p>
              </w:tc>
              <w:tc>
                <w:tcPr>
                  <w:tcW w:w="2586" w:type="dxa"/>
                  <w:vAlign w:val="center"/>
                </w:tcPr>
                <w:p>
                  <w:pPr>
                    <w:adjustRightInd w:val="0"/>
                    <w:snapToGrid w:val="0"/>
                    <w:spacing w:line="320" w:lineRule="exact"/>
                    <w:jc w:val="center"/>
                    <w:rPr>
                      <w:rFonts w:hint="eastAsia"/>
                      <w:bCs/>
                      <w:sz w:val="21"/>
                    </w:rPr>
                  </w:pPr>
                  <w:r>
                    <w:rPr>
                      <w:rFonts w:hint="eastAsia"/>
                      <w:bCs/>
                      <w:sz w:val="21"/>
                    </w:rPr>
                    <w:t>120</w:t>
                  </w:r>
                </w:p>
              </w:tc>
              <w:tc>
                <w:tcPr>
                  <w:tcW w:w="2372" w:type="dxa"/>
                  <w:vMerge w:val="continue"/>
                  <w:vAlign w:val="center"/>
                </w:tcPr>
                <w:p>
                  <w:pPr>
                    <w:adjustRightInd w:val="0"/>
                    <w:snapToGrid w:val="0"/>
                    <w:spacing w:line="320" w:lineRule="exact"/>
                    <w:jc w:val="center"/>
                    <w:rPr>
                      <w:rFonts w:hint="eastAsia"/>
                      <w:bCs/>
                      <w:sz w:val="21"/>
                    </w:rPr>
                  </w:pPr>
                </w:p>
              </w:tc>
              <w:tc>
                <w:tcPr>
                  <w:tcW w:w="1354" w:type="dxa"/>
                  <w:vAlign w:val="center"/>
                </w:tcPr>
                <w:p>
                  <w:pPr>
                    <w:adjustRightInd w:val="0"/>
                    <w:snapToGrid w:val="0"/>
                    <w:spacing w:line="320" w:lineRule="exact"/>
                    <w:jc w:val="center"/>
                    <w:rPr>
                      <w:rFonts w:hint="eastAsia"/>
                      <w:bCs/>
                      <w:sz w:val="21"/>
                    </w:rPr>
                  </w:pPr>
                  <w:r>
                    <w:rPr>
                      <w:rFonts w:hint="eastAsia"/>
                      <w:bCs/>
                      <w:sz w:val="21"/>
                    </w:rPr>
                    <w:t>4.0</w:t>
                  </w:r>
                </w:p>
              </w:tc>
            </w:tr>
          </w:tbl>
          <w:p>
            <w:pPr>
              <w:spacing w:line="440" w:lineRule="exact"/>
              <w:ind w:firstLine="480" w:firstLineChars="200"/>
              <w:rPr>
                <w:sz w:val="24"/>
                <w:szCs w:val="24"/>
              </w:rPr>
            </w:pPr>
            <w:r>
              <w:rPr>
                <w:sz w:val="24"/>
                <w:szCs w:val="24"/>
              </w:rPr>
              <w:t>3、噪声排放标准</w:t>
            </w:r>
          </w:p>
          <w:p>
            <w:pPr>
              <w:spacing w:line="440" w:lineRule="exact"/>
              <w:ind w:firstLine="480" w:firstLineChars="200"/>
              <w:rPr>
                <w:sz w:val="24"/>
                <w:szCs w:val="24"/>
              </w:rPr>
            </w:pPr>
            <w:r>
              <w:rPr>
                <w:rFonts w:hint="eastAsia"/>
                <w:sz w:val="24"/>
                <w:szCs w:val="24"/>
              </w:rPr>
              <w:t>厂界</w:t>
            </w:r>
            <w:r>
              <w:rPr>
                <w:sz w:val="24"/>
                <w:szCs w:val="24"/>
              </w:rPr>
              <w:t>噪声排放执行</w:t>
            </w:r>
            <w:r>
              <w:rPr>
                <w:bCs/>
                <w:sz w:val="24"/>
                <w:szCs w:val="24"/>
              </w:rPr>
              <w:t>《工业企业厂界</w:t>
            </w:r>
            <w:r>
              <w:rPr>
                <w:rFonts w:hint="eastAsia"/>
                <w:bCs/>
                <w:sz w:val="24"/>
                <w:szCs w:val="24"/>
              </w:rPr>
              <w:t>环境</w:t>
            </w:r>
            <w:r>
              <w:rPr>
                <w:bCs/>
                <w:sz w:val="24"/>
                <w:szCs w:val="24"/>
              </w:rPr>
              <w:t>噪声</w:t>
            </w:r>
            <w:r>
              <w:rPr>
                <w:rFonts w:hint="eastAsia"/>
                <w:bCs/>
                <w:sz w:val="24"/>
                <w:szCs w:val="24"/>
              </w:rPr>
              <w:t>排放</w:t>
            </w:r>
            <w:r>
              <w:rPr>
                <w:bCs/>
                <w:sz w:val="24"/>
                <w:szCs w:val="24"/>
              </w:rPr>
              <w:t>标准》</w:t>
            </w:r>
            <w:r>
              <w:rPr>
                <w:sz w:val="24"/>
                <w:szCs w:val="24"/>
              </w:rPr>
              <w:t>（GB12348-</w:t>
            </w:r>
            <w:r>
              <w:rPr>
                <w:rFonts w:hint="eastAsia"/>
                <w:sz w:val="24"/>
                <w:szCs w:val="24"/>
              </w:rPr>
              <w:t>2008</w:t>
            </w:r>
            <w:r>
              <w:rPr>
                <w:sz w:val="24"/>
                <w:szCs w:val="24"/>
              </w:rPr>
              <w:t>）中</w:t>
            </w:r>
            <w:r>
              <w:rPr>
                <w:rFonts w:hint="eastAsia" w:ascii="宋体"/>
                <w:sz w:val="24"/>
                <w:szCs w:val="24"/>
              </w:rPr>
              <w:t>3类功能区噪声排放</w:t>
            </w:r>
            <w:r>
              <w:rPr>
                <w:sz w:val="24"/>
                <w:szCs w:val="24"/>
              </w:rPr>
              <w:t>标准，</w:t>
            </w:r>
            <w:r>
              <w:rPr>
                <w:rFonts w:hint="eastAsia" w:ascii="宋体"/>
                <w:sz w:val="24"/>
                <w:szCs w:val="24"/>
              </w:rPr>
              <w:t>具体</w:t>
            </w:r>
            <w:r>
              <w:rPr>
                <w:sz w:val="24"/>
                <w:szCs w:val="24"/>
              </w:rPr>
              <w:t>见表</w:t>
            </w:r>
            <w:r>
              <w:rPr>
                <w:rFonts w:hint="eastAsia"/>
                <w:sz w:val="24"/>
                <w:szCs w:val="24"/>
                <w:lang w:val="en-US" w:eastAsia="zh-CN"/>
              </w:rPr>
              <w:t>17</w:t>
            </w:r>
            <w:r>
              <w:rPr>
                <w:sz w:val="24"/>
                <w:szCs w:val="24"/>
              </w:rPr>
              <w:t>。</w:t>
            </w:r>
          </w:p>
          <w:p>
            <w:pPr>
              <w:spacing w:line="440" w:lineRule="exact"/>
              <w:ind w:firstLine="480" w:firstLineChars="200"/>
              <w:rPr>
                <w:sz w:val="24"/>
                <w:szCs w:val="24"/>
              </w:rPr>
            </w:pPr>
          </w:p>
          <w:p>
            <w:pPr>
              <w:spacing w:line="440" w:lineRule="exact"/>
              <w:ind w:firstLine="480" w:firstLineChars="200"/>
              <w:rPr>
                <w:sz w:val="24"/>
                <w:szCs w:val="24"/>
              </w:rPr>
            </w:pPr>
          </w:p>
          <w:p>
            <w:pPr>
              <w:spacing w:before="142" w:beforeLines="50"/>
              <w:jc w:val="center"/>
              <w:rPr>
                <w:sz w:val="24"/>
                <w:szCs w:val="24"/>
              </w:rPr>
            </w:pPr>
            <w:r>
              <w:rPr>
                <w:sz w:val="24"/>
                <w:szCs w:val="24"/>
              </w:rPr>
              <w:t>表</w:t>
            </w:r>
            <w:r>
              <w:rPr>
                <w:rFonts w:hint="eastAsia"/>
                <w:sz w:val="24"/>
                <w:szCs w:val="24"/>
              </w:rPr>
              <w:t>1</w:t>
            </w:r>
            <w:r>
              <w:rPr>
                <w:rFonts w:hint="eastAsia"/>
                <w:sz w:val="24"/>
                <w:szCs w:val="24"/>
                <w:lang w:val="en-US" w:eastAsia="zh-CN"/>
              </w:rPr>
              <w:t>7</w:t>
            </w:r>
            <w:r>
              <w:rPr>
                <w:sz w:val="24"/>
                <w:szCs w:val="24"/>
              </w:rPr>
              <w:t>噪声排放标准限值表</w:t>
            </w:r>
          </w:p>
          <w:tbl>
            <w:tblPr>
              <w:tblStyle w:val="34"/>
              <w:tblW w:w="8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1608"/>
              <w:gridCol w:w="1608"/>
              <w:gridCol w:w="1608"/>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607" w:type="dxa"/>
                  <w:vAlign w:val="center"/>
                </w:tcPr>
                <w:p>
                  <w:pPr>
                    <w:jc w:val="center"/>
                    <w:rPr>
                      <w:sz w:val="21"/>
                      <w:szCs w:val="21"/>
                    </w:rPr>
                  </w:pPr>
                  <w:r>
                    <w:rPr>
                      <w:sz w:val="21"/>
                      <w:szCs w:val="21"/>
                    </w:rPr>
                    <w:t>厂界名称</w:t>
                  </w:r>
                </w:p>
              </w:tc>
              <w:tc>
                <w:tcPr>
                  <w:tcW w:w="1608" w:type="dxa"/>
                  <w:vAlign w:val="center"/>
                </w:tcPr>
                <w:p>
                  <w:pPr>
                    <w:jc w:val="center"/>
                    <w:rPr>
                      <w:sz w:val="21"/>
                      <w:szCs w:val="21"/>
                    </w:rPr>
                  </w:pPr>
                  <w:r>
                    <w:rPr>
                      <w:sz w:val="21"/>
                      <w:szCs w:val="21"/>
                    </w:rPr>
                    <w:t>执行标准</w:t>
                  </w:r>
                </w:p>
              </w:tc>
              <w:tc>
                <w:tcPr>
                  <w:tcW w:w="1608" w:type="dxa"/>
                  <w:vAlign w:val="center"/>
                </w:tcPr>
                <w:p>
                  <w:pPr>
                    <w:jc w:val="center"/>
                    <w:rPr>
                      <w:rFonts w:hint="eastAsia"/>
                      <w:sz w:val="21"/>
                      <w:szCs w:val="21"/>
                    </w:rPr>
                  </w:pPr>
                  <w:r>
                    <w:rPr>
                      <w:rFonts w:hint="eastAsia"/>
                      <w:sz w:val="21"/>
                      <w:szCs w:val="21"/>
                    </w:rPr>
                    <w:t>功能区类别</w:t>
                  </w:r>
                </w:p>
              </w:tc>
              <w:tc>
                <w:tcPr>
                  <w:tcW w:w="1608" w:type="dxa"/>
                  <w:vAlign w:val="center"/>
                </w:tcPr>
                <w:p>
                  <w:pPr>
                    <w:spacing w:line="280" w:lineRule="exact"/>
                    <w:jc w:val="center"/>
                    <w:rPr>
                      <w:sz w:val="21"/>
                      <w:szCs w:val="21"/>
                    </w:rPr>
                  </w:pPr>
                  <w:r>
                    <w:rPr>
                      <w:sz w:val="21"/>
                      <w:szCs w:val="21"/>
                    </w:rPr>
                    <w:t>昼间</w:t>
                  </w:r>
                </w:p>
              </w:tc>
              <w:tc>
                <w:tcPr>
                  <w:tcW w:w="1608" w:type="dxa"/>
                  <w:vAlign w:val="center"/>
                </w:tcPr>
                <w:p>
                  <w:pPr>
                    <w:spacing w:line="280" w:lineRule="exact"/>
                    <w:jc w:val="center"/>
                    <w:rPr>
                      <w:sz w:val="21"/>
                      <w:szCs w:val="21"/>
                    </w:rPr>
                  </w:pPr>
                  <w:r>
                    <w:rPr>
                      <w:sz w:val="21"/>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607" w:type="dxa"/>
                  <w:vAlign w:val="center"/>
                </w:tcPr>
                <w:p>
                  <w:pPr>
                    <w:jc w:val="center"/>
                    <w:rPr>
                      <w:sz w:val="21"/>
                      <w:szCs w:val="21"/>
                    </w:rPr>
                  </w:pPr>
                  <w:r>
                    <w:rPr>
                      <w:sz w:val="21"/>
                      <w:szCs w:val="21"/>
                    </w:rPr>
                    <w:t>所有厂界</w:t>
                  </w:r>
                </w:p>
              </w:tc>
              <w:tc>
                <w:tcPr>
                  <w:tcW w:w="1608" w:type="dxa"/>
                  <w:vAlign w:val="center"/>
                </w:tcPr>
                <w:p>
                  <w:pPr>
                    <w:jc w:val="center"/>
                    <w:rPr>
                      <w:sz w:val="21"/>
                      <w:szCs w:val="21"/>
                    </w:rPr>
                  </w:pPr>
                  <w:r>
                    <w:rPr>
                      <w:sz w:val="21"/>
                      <w:szCs w:val="21"/>
                    </w:rPr>
                    <w:t>GB12348-</w:t>
                  </w:r>
                  <w:r>
                    <w:rPr>
                      <w:rFonts w:hint="eastAsia"/>
                      <w:sz w:val="21"/>
                      <w:szCs w:val="21"/>
                    </w:rPr>
                    <w:t>2008</w:t>
                  </w:r>
                </w:p>
              </w:tc>
              <w:tc>
                <w:tcPr>
                  <w:tcW w:w="1608" w:type="dxa"/>
                  <w:vAlign w:val="center"/>
                </w:tcPr>
                <w:p>
                  <w:pPr>
                    <w:jc w:val="center"/>
                    <w:rPr>
                      <w:sz w:val="21"/>
                      <w:szCs w:val="21"/>
                    </w:rPr>
                  </w:pPr>
                  <w:r>
                    <w:rPr>
                      <w:rFonts w:hint="eastAsia"/>
                      <w:sz w:val="21"/>
                      <w:szCs w:val="21"/>
                    </w:rPr>
                    <w:t>3</w:t>
                  </w:r>
                  <w:r>
                    <w:rPr>
                      <w:sz w:val="21"/>
                      <w:szCs w:val="21"/>
                    </w:rPr>
                    <w:t>类</w:t>
                  </w:r>
                  <w:r>
                    <w:rPr>
                      <w:rFonts w:hint="eastAsia"/>
                      <w:sz w:val="21"/>
                      <w:szCs w:val="21"/>
                    </w:rPr>
                    <w:t>功能区</w:t>
                  </w:r>
                </w:p>
              </w:tc>
              <w:tc>
                <w:tcPr>
                  <w:tcW w:w="1608" w:type="dxa"/>
                  <w:vAlign w:val="center"/>
                </w:tcPr>
                <w:p>
                  <w:pPr>
                    <w:spacing w:line="280" w:lineRule="exact"/>
                    <w:jc w:val="center"/>
                    <w:rPr>
                      <w:sz w:val="21"/>
                      <w:szCs w:val="21"/>
                    </w:rPr>
                  </w:pPr>
                  <w:r>
                    <w:rPr>
                      <w:sz w:val="21"/>
                      <w:szCs w:val="21"/>
                    </w:rPr>
                    <w:t>65dB(A)</w:t>
                  </w:r>
                </w:p>
              </w:tc>
              <w:tc>
                <w:tcPr>
                  <w:tcW w:w="1608" w:type="dxa"/>
                  <w:vAlign w:val="center"/>
                </w:tcPr>
                <w:p>
                  <w:pPr>
                    <w:spacing w:line="280" w:lineRule="exact"/>
                    <w:jc w:val="center"/>
                    <w:rPr>
                      <w:sz w:val="21"/>
                      <w:szCs w:val="21"/>
                    </w:rPr>
                  </w:pPr>
                  <w:r>
                    <w:rPr>
                      <w:sz w:val="21"/>
                      <w:szCs w:val="21"/>
                    </w:rPr>
                    <w:t>55dB(A)</w:t>
                  </w:r>
                </w:p>
              </w:tc>
            </w:tr>
          </w:tbl>
          <w:p>
            <w:pPr>
              <w:spacing w:line="440" w:lineRule="exact"/>
              <w:ind w:firstLine="480" w:firstLineChars="200"/>
              <w:rPr>
                <w:rFonts w:hint="eastAsia"/>
                <w:sz w:val="24"/>
                <w:szCs w:val="24"/>
              </w:rPr>
            </w:pPr>
            <w:r>
              <w:rPr>
                <w:rFonts w:hint="eastAsia"/>
                <w:sz w:val="24"/>
                <w:szCs w:val="24"/>
              </w:rPr>
              <w:t>施工期噪声执行《建筑施工场界噪声限值》(GB12523-2001)。</w:t>
            </w:r>
          </w:p>
          <w:p>
            <w:pPr>
              <w:spacing w:before="142" w:beforeLines="50" w:line="360" w:lineRule="auto"/>
              <w:ind w:firstLine="601"/>
              <w:jc w:val="center"/>
              <w:rPr>
                <w:rFonts w:hint="eastAsia"/>
                <w:sz w:val="24"/>
              </w:rPr>
            </w:pPr>
            <w:r>
              <w:rPr>
                <w:rFonts w:hint="eastAsia"/>
                <w:sz w:val="24"/>
              </w:rPr>
              <w:t>表1</w:t>
            </w:r>
            <w:r>
              <w:rPr>
                <w:rFonts w:hint="eastAsia"/>
                <w:sz w:val="24"/>
                <w:lang w:val="en-US" w:eastAsia="zh-CN"/>
              </w:rPr>
              <w:t>8</w:t>
            </w:r>
            <w:r>
              <w:rPr>
                <w:rFonts w:hint="eastAsia"/>
                <w:sz w:val="24"/>
              </w:rPr>
              <w:t>建筑施工场界噪声限值   单位：等效声级：dB(A)</w:t>
            </w:r>
          </w:p>
          <w:tbl>
            <w:tblPr>
              <w:tblStyle w:val="34"/>
              <w:tblW w:w="8270" w:type="dxa"/>
              <w:jc w:val="center"/>
              <w:tblInd w:w="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681"/>
              <w:gridCol w:w="358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8270" w:type="dxa"/>
                  <w:gridSpan w:val="2"/>
                  <w:vAlign w:val="center"/>
                </w:tcPr>
                <w:p>
                  <w:pPr>
                    <w:jc w:val="center"/>
                    <w:rPr>
                      <w:rFonts w:hint="eastAsia"/>
                      <w:sz w:val="21"/>
                      <w:szCs w:val="21"/>
                    </w:rPr>
                  </w:pPr>
                  <w:r>
                    <w:rPr>
                      <w:rFonts w:hint="eastAsia"/>
                      <w:sz w:val="21"/>
                      <w:szCs w:val="21"/>
                    </w:rPr>
                    <w:t>噪  声  限  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4681" w:type="dxa"/>
                  <w:vAlign w:val="center"/>
                </w:tcPr>
                <w:p>
                  <w:pPr>
                    <w:jc w:val="center"/>
                    <w:rPr>
                      <w:rFonts w:hint="eastAsia"/>
                      <w:sz w:val="21"/>
                      <w:szCs w:val="21"/>
                    </w:rPr>
                  </w:pPr>
                  <w:r>
                    <w:rPr>
                      <w:rFonts w:hint="eastAsia"/>
                      <w:sz w:val="21"/>
                      <w:szCs w:val="21"/>
                    </w:rPr>
                    <w:t>昼间</w:t>
                  </w:r>
                </w:p>
              </w:tc>
              <w:tc>
                <w:tcPr>
                  <w:tcW w:w="3589" w:type="dxa"/>
                  <w:vAlign w:val="center"/>
                </w:tcPr>
                <w:p>
                  <w:pPr>
                    <w:jc w:val="center"/>
                    <w:rPr>
                      <w:rFonts w:hint="eastAsia"/>
                      <w:sz w:val="21"/>
                      <w:szCs w:val="21"/>
                    </w:rPr>
                  </w:pPr>
                  <w:r>
                    <w:rPr>
                      <w:rFonts w:hint="eastAsia"/>
                      <w:sz w:val="21"/>
                      <w:szCs w:val="21"/>
                    </w:rPr>
                    <w:t>夜间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4681" w:type="dxa"/>
                  <w:vAlign w:val="center"/>
                </w:tcPr>
                <w:p>
                  <w:pPr>
                    <w:jc w:val="center"/>
                    <w:rPr>
                      <w:rFonts w:hint="eastAsia"/>
                      <w:sz w:val="21"/>
                      <w:szCs w:val="21"/>
                    </w:rPr>
                  </w:pPr>
                  <w:r>
                    <w:rPr>
                      <w:rFonts w:hint="eastAsia"/>
                      <w:sz w:val="21"/>
                      <w:szCs w:val="21"/>
                    </w:rPr>
                    <w:t>70</w:t>
                  </w:r>
                </w:p>
              </w:tc>
              <w:tc>
                <w:tcPr>
                  <w:tcW w:w="3589" w:type="dxa"/>
                  <w:vAlign w:val="center"/>
                </w:tcPr>
                <w:p>
                  <w:pPr>
                    <w:jc w:val="center"/>
                    <w:rPr>
                      <w:rFonts w:hint="eastAsia"/>
                      <w:sz w:val="21"/>
                      <w:szCs w:val="21"/>
                    </w:rPr>
                  </w:pPr>
                  <w:r>
                    <w:rPr>
                      <w:rFonts w:hint="eastAsia"/>
                      <w:sz w:val="21"/>
                      <w:szCs w:val="21"/>
                    </w:rPr>
                    <w:t>55</w:t>
                  </w:r>
                </w:p>
              </w:tc>
            </w:tr>
          </w:tbl>
          <w:p>
            <w:pPr>
              <w:spacing w:line="360" w:lineRule="auto"/>
              <w:rPr>
                <w:sz w:val="21"/>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Ex>
        <w:trPr>
          <w:trHeight w:val="2824" w:hRule="atLeast"/>
        </w:trPr>
        <w:tc>
          <w:tcPr>
            <w:tcW w:w="832" w:type="dxa"/>
            <w:vAlign w:val="center"/>
          </w:tcPr>
          <w:p>
            <w:pPr>
              <w:spacing w:before="142" w:beforeLines="50" w:line="288" w:lineRule="auto"/>
              <w:jc w:val="center"/>
              <w:rPr>
                <w:bCs/>
                <w:sz w:val="24"/>
                <w:szCs w:val="24"/>
              </w:rPr>
            </w:pPr>
            <w:r>
              <w:rPr>
                <w:bCs/>
                <w:sz w:val="24"/>
                <w:szCs w:val="24"/>
              </w:rPr>
              <w:t>总</w:t>
            </w:r>
          </w:p>
          <w:p>
            <w:pPr>
              <w:spacing w:line="288" w:lineRule="auto"/>
              <w:jc w:val="center"/>
              <w:rPr>
                <w:bCs/>
                <w:sz w:val="24"/>
                <w:szCs w:val="24"/>
              </w:rPr>
            </w:pPr>
            <w:r>
              <w:rPr>
                <w:bCs/>
                <w:sz w:val="24"/>
                <w:szCs w:val="24"/>
              </w:rPr>
              <w:t>量</w:t>
            </w:r>
          </w:p>
          <w:p>
            <w:pPr>
              <w:spacing w:line="288" w:lineRule="auto"/>
              <w:jc w:val="center"/>
              <w:rPr>
                <w:bCs/>
                <w:sz w:val="24"/>
                <w:szCs w:val="24"/>
              </w:rPr>
            </w:pPr>
            <w:r>
              <w:rPr>
                <w:bCs/>
                <w:sz w:val="24"/>
                <w:szCs w:val="24"/>
              </w:rPr>
              <w:t>控</w:t>
            </w:r>
          </w:p>
          <w:p>
            <w:pPr>
              <w:spacing w:line="288" w:lineRule="auto"/>
              <w:jc w:val="center"/>
              <w:rPr>
                <w:bCs/>
                <w:sz w:val="24"/>
                <w:szCs w:val="24"/>
              </w:rPr>
            </w:pPr>
            <w:r>
              <w:rPr>
                <w:bCs/>
                <w:sz w:val="24"/>
                <w:szCs w:val="24"/>
              </w:rPr>
              <w:t>制</w:t>
            </w:r>
          </w:p>
          <w:p>
            <w:pPr>
              <w:spacing w:line="288" w:lineRule="auto"/>
              <w:jc w:val="center"/>
              <w:rPr>
                <w:bCs/>
                <w:sz w:val="24"/>
                <w:szCs w:val="24"/>
              </w:rPr>
            </w:pPr>
            <w:r>
              <w:rPr>
                <w:bCs/>
                <w:sz w:val="24"/>
                <w:szCs w:val="24"/>
              </w:rPr>
              <w:t>指</w:t>
            </w:r>
          </w:p>
          <w:p>
            <w:pPr>
              <w:spacing w:after="142" w:afterLines="50" w:line="288" w:lineRule="auto"/>
              <w:jc w:val="center"/>
              <w:rPr>
                <w:bCs/>
                <w:sz w:val="21"/>
                <w:szCs w:val="21"/>
              </w:rPr>
            </w:pPr>
            <w:r>
              <w:rPr>
                <w:bCs/>
                <w:sz w:val="24"/>
                <w:szCs w:val="24"/>
              </w:rPr>
              <w:t>标</w:t>
            </w:r>
          </w:p>
        </w:tc>
        <w:tc>
          <w:tcPr>
            <w:tcW w:w="8490" w:type="dxa"/>
            <w:vAlign w:val="top"/>
          </w:tcPr>
          <w:p>
            <w:pPr>
              <w:spacing w:line="440" w:lineRule="exact"/>
              <w:ind w:firstLine="480"/>
              <w:rPr>
                <w:rFonts w:hint="eastAsia"/>
                <w:sz w:val="24"/>
                <w:szCs w:val="24"/>
              </w:rPr>
            </w:pPr>
            <w:r>
              <w:rPr>
                <w:rFonts w:hint="eastAsia"/>
                <w:snapToGrid w:val="0"/>
                <w:kern w:val="0"/>
                <w:sz w:val="24"/>
              </w:rPr>
              <w:t>（1）</w:t>
            </w:r>
            <w:r>
              <w:rPr>
                <w:rFonts w:hint="eastAsia"/>
                <w:snapToGrid w:val="0"/>
                <w:kern w:val="0"/>
                <w:sz w:val="24"/>
                <w:lang w:val="en-US" w:eastAsia="zh-CN"/>
              </w:rPr>
              <w:t>项目废水接管考核量为:废水量1080t/a、</w:t>
            </w:r>
            <w:r>
              <w:rPr>
                <w:sz w:val="24"/>
                <w:szCs w:val="24"/>
              </w:rPr>
              <w:t>、COD</w:t>
            </w:r>
            <w:r>
              <w:rPr>
                <w:rFonts w:hint="eastAsia"/>
                <w:sz w:val="24"/>
                <w:szCs w:val="24"/>
              </w:rPr>
              <w:t>0.33</w:t>
            </w:r>
            <w:r>
              <w:rPr>
                <w:sz w:val="24"/>
                <w:szCs w:val="24"/>
              </w:rPr>
              <w:t>t/a、SS</w:t>
            </w:r>
            <w:r>
              <w:rPr>
                <w:rFonts w:hint="eastAsia"/>
                <w:sz w:val="24"/>
                <w:szCs w:val="24"/>
              </w:rPr>
              <w:t>0.3</w:t>
            </w:r>
            <w:r>
              <w:rPr>
                <w:sz w:val="24"/>
                <w:szCs w:val="24"/>
              </w:rPr>
              <w:t>t/a、氨氮</w:t>
            </w:r>
            <w:r>
              <w:rPr>
                <w:rFonts w:hint="eastAsia"/>
                <w:sz w:val="24"/>
                <w:szCs w:val="24"/>
              </w:rPr>
              <w:t>0.03</w:t>
            </w:r>
            <w:r>
              <w:rPr>
                <w:sz w:val="24"/>
                <w:szCs w:val="24"/>
              </w:rPr>
              <w:t>t/a、总磷</w:t>
            </w:r>
            <w:r>
              <w:rPr>
                <w:rFonts w:hint="eastAsia"/>
                <w:sz w:val="24"/>
                <w:szCs w:val="24"/>
              </w:rPr>
              <w:t>0.0048</w:t>
            </w:r>
            <w:r>
              <w:rPr>
                <w:sz w:val="24"/>
                <w:szCs w:val="24"/>
              </w:rPr>
              <w:t>t/a。</w:t>
            </w:r>
          </w:p>
          <w:p>
            <w:pPr>
              <w:spacing w:line="440" w:lineRule="exact"/>
              <w:ind w:firstLine="480"/>
              <w:rPr>
                <w:rFonts w:hint="eastAsia"/>
                <w:sz w:val="24"/>
                <w:szCs w:val="24"/>
              </w:rPr>
            </w:pPr>
            <w:r>
              <w:rPr>
                <w:rFonts w:hint="eastAsia"/>
                <w:snapToGrid w:val="0"/>
                <w:kern w:val="0"/>
                <w:sz w:val="24"/>
                <w:lang w:val="en-US" w:eastAsia="zh-CN"/>
              </w:rPr>
              <w:t>经</w:t>
            </w:r>
            <w:r>
              <w:rPr>
                <w:rFonts w:hint="eastAsia"/>
                <w:snapToGrid w:val="0"/>
                <w:kern w:val="0"/>
                <w:sz w:val="24"/>
              </w:rPr>
              <w:t>开发区污水处理厂</w:t>
            </w:r>
            <w:r>
              <w:rPr>
                <w:rFonts w:hint="eastAsia"/>
                <w:snapToGrid w:val="0"/>
                <w:kern w:val="0"/>
                <w:sz w:val="24"/>
                <w:lang w:val="en-US" w:eastAsia="zh-CN"/>
              </w:rPr>
              <w:t>处理后</w:t>
            </w:r>
            <w:r>
              <w:rPr>
                <w:rFonts w:hint="eastAsia"/>
                <w:sz w:val="24"/>
                <w:szCs w:val="24"/>
              </w:rPr>
              <w:t>的</w:t>
            </w:r>
            <w:r>
              <w:rPr>
                <w:sz w:val="24"/>
                <w:szCs w:val="24"/>
              </w:rPr>
              <w:t>水污染物</w:t>
            </w:r>
            <w:r>
              <w:rPr>
                <w:rFonts w:hint="eastAsia"/>
                <w:sz w:val="24"/>
                <w:szCs w:val="24"/>
              </w:rPr>
              <w:t>最终排放量</w:t>
            </w:r>
            <w:r>
              <w:rPr>
                <w:sz w:val="24"/>
                <w:szCs w:val="24"/>
              </w:rPr>
              <w:t>为：废水量</w:t>
            </w:r>
            <w:r>
              <w:rPr>
                <w:rFonts w:hint="eastAsia"/>
                <w:sz w:val="24"/>
                <w:szCs w:val="24"/>
              </w:rPr>
              <w:t>1080</w:t>
            </w:r>
            <w:r>
              <w:rPr>
                <w:sz w:val="24"/>
                <w:szCs w:val="24"/>
              </w:rPr>
              <w:t>t/a、COD</w:t>
            </w:r>
            <w:r>
              <w:rPr>
                <w:rFonts w:hint="eastAsia"/>
                <w:sz w:val="24"/>
                <w:szCs w:val="24"/>
              </w:rPr>
              <w:t>0.</w:t>
            </w:r>
            <w:r>
              <w:rPr>
                <w:rFonts w:hint="eastAsia"/>
                <w:sz w:val="24"/>
                <w:szCs w:val="24"/>
                <w:lang w:val="en-US" w:eastAsia="zh-CN"/>
              </w:rPr>
              <w:t>11</w:t>
            </w:r>
            <w:r>
              <w:rPr>
                <w:sz w:val="24"/>
                <w:szCs w:val="24"/>
              </w:rPr>
              <w:t>t/a、SS</w:t>
            </w:r>
            <w:r>
              <w:rPr>
                <w:rFonts w:hint="eastAsia"/>
                <w:sz w:val="24"/>
                <w:szCs w:val="24"/>
              </w:rPr>
              <w:t>0.</w:t>
            </w:r>
            <w:r>
              <w:rPr>
                <w:rFonts w:hint="eastAsia"/>
                <w:sz w:val="24"/>
                <w:szCs w:val="24"/>
                <w:lang w:val="en-US" w:eastAsia="zh-CN"/>
              </w:rPr>
              <w:t>105</w:t>
            </w:r>
            <w:r>
              <w:rPr>
                <w:sz w:val="24"/>
                <w:szCs w:val="24"/>
              </w:rPr>
              <w:t>t/a、氨氮</w:t>
            </w:r>
            <w:r>
              <w:rPr>
                <w:rFonts w:hint="eastAsia"/>
                <w:sz w:val="24"/>
                <w:szCs w:val="24"/>
              </w:rPr>
              <w:t>0.0</w:t>
            </w:r>
            <w:r>
              <w:rPr>
                <w:rFonts w:hint="eastAsia"/>
                <w:sz w:val="24"/>
                <w:szCs w:val="24"/>
                <w:lang w:val="en-US" w:eastAsia="zh-CN"/>
              </w:rPr>
              <w:t>18</w:t>
            </w:r>
            <w:r>
              <w:rPr>
                <w:sz w:val="24"/>
                <w:szCs w:val="24"/>
              </w:rPr>
              <w:t>t/a、总磷</w:t>
            </w:r>
            <w:r>
              <w:rPr>
                <w:rFonts w:hint="eastAsia"/>
                <w:sz w:val="24"/>
                <w:szCs w:val="24"/>
              </w:rPr>
              <w:t>0.00</w:t>
            </w:r>
            <w:r>
              <w:rPr>
                <w:rFonts w:hint="eastAsia"/>
                <w:sz w:val="24"/>
                <w:szCs w:val="24"/>
                <w:lang w:val="en-US" w:eastAsia="zh-CN"/>
              </w:rPr>
              <w:t>06</w:t>
            </w:r>
            <w:r>
              <w:rPr>
                <w:sz w:val="24"/>
                <w:szCs w:val="24"/>
              </w:rPr>
              <w:t>t/a。</w:t>
            </w:r>
          </w:p>
          <w:p>
            <w:pPr>
              <w:spacing w:line="440" w:lineRule="exact"/>
              <w:ind w:firstLine="480"/>
              <w:rPr>
                <w:rFonts w:hint="eastAsia"/>
                <w:sz w:val="24"/>
                <w:szCs w:val="24"/>
              </w:rPr>
            </w:pPr>
            <w:r>
              <w:rPr>
                <w:rFonts w:hint="eastAsia"/>
                <w:sz w:val="24"/>
                <w:szCs w:val="24"/>
              </w:rPr>
              <w:t>（2）大气污染物：</w:t>
            </w:r>
            <w:r>
              <w:rPr>
                <w:rFonts w:hint="eastAsia"/>
                <w:sz w:val="24"/>
              </w:rPr>
              <w:t>0。</w:t>
            </w:r>
          </w:p>
          <w:p>
            <w:pPr>
              <w:spacing w:line="440" w:lineRule="exact"/>
              <w:ind w:firstLine="480"/>
              <w:rPr>
                <w:rFonts w:hint="eastAsia"/>
                <w:sz w:val="24"/>
                <w:szCs w:val="24"/>
              </w:rPr>
            </w:pPr>
            <w:r>
              <w:rPr>
                <w:rFonts w:hint="eastAsia"/>
                <w:sz w:val="24"/>
                <w:szCs w:val="24"/>
              </w:rPr>
              <w:t>（3）固废：</w:t>
            </w:r>
            <w:r>
              <w:rPr>
                <w:sz w:val="24"/>
                <w:szCs w:val="24"/>
              </w:rPr>
              <w:t>固体废物排放量为0，不申请总量排放指标。</w:t>
            </w: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440" w:lineRule="exact"/>
              <w:ind w:firstLine="480"/>
              <w:rPr>
                <w:rFonts w:hint="eastAsia"/>
                <w:sz w:val="24"/>
                <w:szCs w:val="24"/>
              </w:rPr>
            </w:pPr>
          </w:p>
          <w:p>
            <w:pPr>
              <w:spacing w:line="360" w:lineRule="auto"/>
              <w:rPr>
                <w:rFonts w:hint="eastAsia"/>
                <w:sz w:val="21"/>
                <w:szCs w:val="21"/>
              </w:rPr>
            </w:pPr>
          </w:p>
        </w:tc>
      </w:tr>
      <w:tr>
        <w:tblPrEx>
          <w:tblBorders>
            <w:top w:val="single" w:color="auto" w:sz="8" w:space="0"/>
            <w:left w:val="single" w:color="auto" w:sz="8" w:space="0"/>
            <w:bottom w:val="single" w:color="auto" w:sz="8" w:space="0"/>
            <w:right w:val="single" w:color="auto" w:sz="8" w:space="0"/>
            <w:insideH w:val="single" w:color="auto" w:sz="12" w:space="0"/>
            <w:insideV w:val="single" w:color="auto" w:sz="12" w:space="0"/>
          </w:tblBorders>
          <w:tblLayout w:type="fixed"/>
          <w:tblCellMar>
            <w:top w:w="0" w:type="dxa"/>
            <w:left w:w="108" w:type="dxa"/>
            <w:bottom w:w="0" w:type="dxa"/>
            <w:right w:w="108" w:type="dxa"/>
          </w:tblCellMar>
        </w:tblPrEx>
        <w:trPr>
          <w:trHeight w:val="12409" w:hRule="atLeast"/>
        </w:trPr>
        <w:tc>
          <w:tcPr>
            <w:tcW w:w="9322" w:type="dxa"/>
            <w:gridSpan w:val="2"/>
            <w:vAlign w:val="top"/>
          </w:tcPr>
          <w:p>
            <w:pPr>
              <w:pStyle w:val="38"/>
              <w:autoSpaceDE/>
              <w:autoSpaceDN/>
              <w:adjustRightInd/>
              <w:spacing w:line="300" w:lineRule="auto"/>
              <w:textAlignment w:val="auto"/>
              <w:rPr>
                <w:rFonts w:hint="eastAsia"/>
                <w:b/>
                <w:sz w:val="28"/>
                <w:szCs w:val="28"/>
              </w:rPr>
            </w:pPr>
            <w:r>
              <w:rPr>
                <w:b/>
                <w:sz w:val="28"/>
                <w:szCs w:val="28"/>
              </w:rPr>
              <w:t>五、</w:t>
            </w:r>
            <w:r>
              <w:rPr>
                <w:b/>
                <w:bCs/>
                <w:sz w:val="28"/>
                <w:szCs w:val="28"/>
              </w:rPr>
              <w:t>建设项目工程分析</w:t>
            </w:r>
          </w:p>
          <w:p>
            <w:pPr>
              <w:pStyle w:val="38"/>
              <w:autoSpaceDE/>
              <w:autoSpaceDN/>
              <w:adjustRightInd/>
              <w:spacing w:line="300" w:lineRule="auto"/>
              <w:textAlignment w:val="auto"/>
              <w:rPr>
                <w:rFonts w:hint="eastAsia"/>
                <w:b/>
                <w:sz w:val="28"/>
                <w:szCs w:val="28"/>
              </w:rPr>
            </w:pPr>
            <w:r>
              <w:rPr>
                <w:b/>
                <w:sz w:val="28"/>
                <w:szCs w:val="28"/>
              </w:rPr>
              <w:t>工艺流程简述（图示）：</w:t>
            </w:r>
          </w:p>
          <w:p>
            <w:pPr>
              <w:spacing w:line="360" w:lineRule="auto"/>
              <w:ind w:firstLine="560" w:firstLineChars="200"/>
              <w:rPr>
                <w:rFonts w:hint="eastAsia"/>
                <w:kern w:val="0"/>
              </w:rPr>
            </w:pPr>
            <w:r>
              <w:drawing>
                <wp:anchor distT="0" distB="0" distL="114300" distR="114300" simplePos="0" relativeHeight="251658240" behindDoc="0" locked="0" layoutInCell="1" allowOverlap="1">
                  <wp:simplePos x="0" y="0"/>
                  <wp:positionH relativeFrom="page">
                    <wp:posOffset>281940</wp:posOffset>
                  </wp:positionH>
                  <wp:positionV relativeFrom="page">
                    <wp:posOffset>659130</wp:posOffset>
                  </wp:positionV>
                  <wp:extent cx="5456555" cy="701040"/>
                  <wp:effectExtent l="0" t="0" r="14605"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14"/>
                          <a:stretch>
                            <a:fillRect/>
                          </a:stretch>
                        </pic:blipFill>
                        <pic:spPr>
                          <a:xfrm>
                            <a:off x="0" y="0"/>
                            <a:ext cx="5456555" cy="701040"/>
                          </a:xfrm>
                          <a:prstGeom prst="rect">
                            <a:avLst/>
                          </a:prstGeom>
                          <a:noFill/>
                          <a:ln w="9525">
                            <a:noFill/>
                            <a:miter/>
                          </a:ln>
                        </pic:spPr>
                      </pic:pic>
                    </a:graphicData>
                  </a:graphic>
                </wp:anchor>
              </w:drawing>
            </w:r>
            <w:r>
              <w:rPr>
                <w:kern w:val="0"/>
              </w:rPr>
              <w:t> </w:t>
            </w:r>
            <w:r>
              <w:rPr>
                <w:rFonts w:hint="eastAsia"/>
                <w:kern w:val="0"/>
              </w:rPr>
              <w:t xml:space="preserve">  </w:t>
            </w:r>
          </w:p>
          <w:p>
            <w:pPr>
              <w:spacing w:line="360" w:lineRule="auto"/>
              <w:ind w:firstLine="560" w:firstLineChars="200"/>
              <w:rPr>
                <w:rFonts w:hint="eastAsia"/>
                <w:kern w:val="0"/>
              </w:rPr>
            </w:pPr>
          </w:p>
          <w:p>
            <w:pPr>
              <w:spacing w:line="360" w:lineRule="auto"/>
              <w:ind w:firstLine="560" w:firstLineChars="200"/>
              <w:rPr>
                <w:rFonts w:hint="eastAsia"/>
                <w:kern w:val="0"/>
              </w:rPr>
            </w:pPr>
          </w:p>
          <w:p>
            <w:pPr>
              <w:snapToGrid w:val="0"/>
              <w:spacing w:line="440" w:lineRule="exact"/>
              <w:rPr>
                <w:rFonts w:hint="eastAsia"/>
                <w:b/>
                <w:bCs/>
                <w:szCs w:val="28"/>
              </w:rPr>
            </w:pPr>
            <w:r>
              <w:rPr>
                <w:b/>
                <w:bCs/>
                <w:szCs w:val="28"/>
              </w:rPr>
              <w:t>主要污染工序</w:t>
            </w:r>
            <w:r>
              <w:rPr>
                <w:rFonts w:hint="eastAsia"/>
                <w:b/>
                <w:bCs/>
                <w:szCs w:val="28"/>
              </w:rPr>
              <w:t>及污染源核算</w:t>
            </w:r>
            <w:r>
              <w:rPr>
                <w:b/>
                <w:bCs/>
                <w:szCs w:val="28"/>
              </w:rPr>
              <w:t>：</w:t>
            </w:r>
          </w:p>
          <w:p>
            <w:pPr>
              <w:spacing w:line="360" w:lineRule="auto"/>
              <w:ind w:firstLine="482" w:firstLineChars="200"/>
              <w:rPr>
                <w:rFonts w:hint="eastAsia"/>
                <w:b/>
                <w:sz w:val="24"/>
              </w:rPr>
            </w:pPr>
            <w:r>
              <w:rPr>
                <w:rFonts w:hint="eastAsia"/>
                <w:b/>
                <w:sz w:val="24"/>
              </w:rPr>
              <w:t>一、施工期</w:t>
            </w:r>
          </w:p>
          <w:p>
            <w:pPr>
              <w:adjustRightInd w:val="0"/>
              <w:snapToGrid w:val="0"/>
              <w:spacing w:line="360" w:lineRule="auto"/>
              <w:ind w:left="140" w:leftChars="50" w:right="140" w:rightChars="50" w:firstLine="480" w:firstLineChars="200"/>
              <w:rPr>
                <w:rFonts w:hint="eastAsia" w:ascii="宋体" w:hAnsi="宋体"/>
                <w:sz w:val="24"/>
                <w:szCs w:val="24"/>
              </w:rPr>
            </w:pPr>
            <w:r>
              <w:rPr>
                <w:rFonts w:hint="eastAsia" w:ascii="宋体" w:hAnsi="宋体"/>
                <w:sz w:val="24"/>
                <w:szCs w:val="24"/>
              </w:rPr>
              <w:t>施工期污染主要为大气污染物、噪声、固废和废水。其中大气污染物主要是建筑粉尘和动力设备及运输车辆排放的废气，后者的影响较小。</w:t>
            </w:r>
          </w:p>
          <w:p>
            <w:pPr>
              <w:adjustRightInd w:val="0"/>
              <w:snapToGrid w:val="0"/>
              <w:spacing w:line="360" w:lineRule="auto"/>
              <w:ind w:left="140" w:leftChars="50" w:right="140" w:rightChars="50" w:firstLine="480" w:firstLineChars="200"/>
              <w:rPr>
                <w:rFonts w:hint="eastAsia"/>
                <w:sz w:val="24"/>
                <w:szCs w:val="24"/>
              </w:rPr>
            </w:pPr>
            <w:r>
              <w:rPr>
                <w:rFonts w:hint="eastAsia"/>
                <w:sz w:val="24"/>
                <w:szCs w:val="24"/>
              </w:rPr>
              <w:t>（1）施工期扬尘</w:t>
            </w:r>
          </w:p>
          <w:p>
            <w:pPr>
              <w:adjustRightInd w:val="0"/>
              <w:snapToGrid w:val="0"/>
              <w:spacing w:line="360" w:lineRule="auto"/>
              <w:ind w:left="140" w:leftChars="50" w:right="140" w:rightChars="50" w:firstLine="480" w:firstLineChars="200"/>
              <w:rPr>
                <w:rFonts w:hint="eastAsia" w:ascii="宋体" w:hAnsi="宋体"/>
                <w:sz w:val="24"/>
                <w:szCs w:val="24"/>
              </w:rPr>
            </w:pPr>
            <w:r>
              <w:rPr>
                <w:rFonts w:hint="eastAsia" w:ascii="宋体" w:hAnsi="宋体"/>
                <w:sz w:val="24"/>
                <w:szCs w:val="24"/>
              </w:rPr>
              <w:t>施工期扬尘一般来源于①土方工程和基础工程中场地平整、挖掘、堆放、清运、砂石及土的回填等工序所产生的土尘；②混凝土工程中混凝土的运输、装卸、堆放、搅拌制备以及其它建筑材料如黄沙、石子等的装卸、运输、堆放等所产生的水泥尘和沙石尘；③砌筑工程和建筑防水工程中砂浆制备、材料运输所产生的灰尘；④施工垃圾在堆放过程和清运过程中产生的扬尘。</w:t>
            </w:r>
          </w:p>
          <w:p>
            <w:pPr>
              <w:adjustRightInd w:val="0"/>
              <w:snapToGrid w:val="0"/>
              <w:spacing w:line="360" w:lineRule="auto"/>
              <w:ind w:left="140" w:leftChars="50" w:right="140" w:rightChars="50" w:firstLine="480" w:firstLineChars="200"/>
              <w:rPr>
                <w:rFonts w:hint="eastAsia"/>
                <w:sz w:val="24"/>
                <w:szCs w:val="24"/>
              </w:rPr>
            </w:pPr>
            <w:r>
              <w:rPr>
                <w:rFonts w:hint="eastAsia" w:ascii="宋体" w:hAnsi="宋体"/>
                <w:sz w:val="24"/>
                <w:szCs w:val="24"/>
              </w:rPr>
              <w:t>施工期扬尘的产生将会使周围大气中的悬浮微粒浓度增加，局部地区污染加剧，根据同类工地现场监测，施工作业场地附近地面粉尘浓度可达</w:t>
            </w:r>
            <w:r>
              <w:rPr>
                <w:sz w:val="24"/>
                <w:szCs w:val="24"/>
              </w:rPr>
              <w:t>1.5～30mg/m</w:t>
            </w:r>
            <w:r>
              <w:rPr>
                <w:sz w:val="24"/>
                <w:szCs w:val="24"/>
                <w:vertAlign w:val="superscript"/>
              </w:rPr>
              <w:t>3</w:t>
            </w:r>
            <w:r>
              <w:rPr>
                <w:rFonts w:hint="eastAsia"/>
                <w:sz w:val="24"/>
                <w:szCs w:val="24"/>
              </w:rPr>
              <w:t>。</w:t>
            </w:r>
          </w:p>
          <w:p>
            <w:pPr>
              <w:adjustRightInd w:val="0"/>
              <w:snapToGrid w:val="0"/>
              <w:spacing w:line="360" w:lineRule="auto"/>
              <w:ind w:left="140" w:leftChars="50" w:right="140" w:rightChars="50" w:firstLine="480" w:firstLineChars="200"/>
              <w:rPr>
                <w:rFonts w:hint="eastAsia"/>
                <w:sz w:val="24"/>
                <w:szCs w:val="24"/>
              </w:rPr>
            </w:pPr>
            <w:r>
              <w:rPr>
                <w:rFonts w:hint="eastAsia"/>
                <w:sz w:val="24"/>
                <w:szCs w:val="24"/>
              </w:rPr>
              <w:t>（2）施工期噪声</w:t>
            </w:r>
          </w:p>
          <w:p>
            <w:pPr>
              <w:pStyle w:val="6"/>
              <w:adjustRightInd w:val="0"/>
              <w:snapToGrid w:val="0"/>
              <w:spacing w:line="360" w:lineRule="auto"/>
              <w:ind w:left="112" w:leftChars="40" w:right="113" w:firstLine="437" w:firstLineChars="182"/>
              <w:rPr>
                <w:rFonts w:hint="eastAsia"/>
                <w:sz w:val="24"/>
                <w:szCs w:val="24"/>
              </w:rPr>
            </w:pPr>
            <w:r>
              <w:rPr>
                <w:rFonts w:hint="eastAsia"/>
                <w:sz w:val="24"/>
                <w:szCs w:val="24"/>
              </w:rPr>
              <w:t>土建阶段的主要高噪声设备有打桩机（本项目采用无振动、无噪音的静力液压桩机）、混凝土搅拌机、塔吊、混凝土（插式和平板式）振捣器、电锯、卷扬机、水泵、运输车辆等。这些机械设备的噪声源强（距设备1米处）一般在85-115</w:t>
            </w:r>
            <w:r>
              <w:rPr>
                <w:sz w:val="24"/>
                <w:szCs w:val="24"/>
              </w:rPr>
              <w:t>dB(A)</w:t>
            </w:r>
            <w:r>
              <w:rPr>
                <w:rFonts w:hint="eastAsia"/>
                <w:sz w:val="24"/>
                <w:szCs w:val="24"/>
              </w:rPr>
              <w:t>间，这些机械设备运行时的噪声值如表19。建筑施工场地各工程场界噪声值如表20。</w:t>
            </w:r>
          </w:p>
          <w:p>
            <w:pPr>
              <w:snapToGrid w:val="0"/>
              <w:jc w:val="center"/>
              <w:outlineLvl w:val="0"/>
              <w:rPr>
                <w:rFonts w:hint="eastAsia"/>
                <w:sz w:val="24"/>
                <w:szCs w:val="24"/>
              </w:rPr>
            </w:pPr>
            <w:r>
              <w:rPr>
                <w:rFonts w:hint="eastAsia"/>
                <w:sz w:val="24"/>
                <w:szCs w:val="24"/>
              </w:rPr>
              <w:t xml:space="preserve">表19 土建阶段施工机械设备噪声值   [Leq </w:t>
            </w:r>
            <w:r>
              <w:rPr>
                <w:sz w:val="24"/>
                <w:szCs w:val="24"/>
              </w:rPr>
              <w:t>dB(A)</w:t>
            </w:r>
            <w:r>
              <w:rPr>
                <w:rFonts w:hint="eastAsia"/>
                <w:sz w:val="24"/>
                <w:szCs w:val="24"/>
              </w:rPr>
              <w:t>]</w:t>
            </w:r>
          </w:p>
          <w:tbl>
            <w:tblPr>
              <w:tblStyle w:val="34"/>
              <w:tblW w:w="9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2682"/>
              <w:gridCol w:w="3040"/>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1295" w:type="dxa"/>
                  <w:vAlign w:val="center"/>
                </w:tcPr>
                <w:p>
                  <w:pPr>
                    <w:pStyle w:val="24"/>
                    <w:spacing w:line="360" w:lineRule="exact"/>
                    <w:ind w:left="420" w:hanging="420"/>
                    <w:jc w:val="center"/>
                    <w:rPr>
                      <w:rFonts w:hint="eastAsia"/>
                      <w:sz w:val="21"/>
                    </w:rPr>
                  </w:pPr>
                  <w:r>
                    <w:rPr>
                      <w:rFonts w:hint="eastAsia"/>
                      <w:sz w:val="21"/>
                    </w:rPr>
                    <w:t>序号</w:t>
                  </w:r>
                </w:p>
              </w:tc>
              <w:tc>
                <w:tcPr>
                  <w:tcW w:w="2682" w:type="dxa"/>
                  <w:vAlign w:val="center"/>
                </w:tcPr>
                <w:p>
                  <w:pPr>
                    <w:pStyle w:val="24"/>
                    <w:spacing w:line="360" w:lineRule="exact"/>
                    <w:ind w:left="420" w:hanging="420"/>
                    <w:jc w:val="center"/>
                    <w:rPr>
                      <w:rFonts w:hint="eastAsia"/>
                      <w:sz w:val="21"/>
                    </w:rPr>
                  </w:pPr>
                  <w:r>
                    <w:rPr>
                      <w:rFonts w:hint="eastAsia"/>
                      <w:sz w:val="21"/>
                    </w:rPr>
                    <w:t>设备名称</w:t>
                  </w:r>
                </w:p>
              </w:tc>
              <w:tc>
                <w:tcPr>
                  <w:tcW w:w="3040" w:type="dxa"/>
                  <w:vAlign w:val="center"/>
                </w:tcPr>
                <w:p>
                  <w:pPr>
                    <w:pStyle w:val="24"/>
                    <w:spacing w:line="360" w:lineRule="exact"/>
                    <w:ind w:left="420" w:hanging="420"/>
                    <w:jc w:val="center"/>
                    <w:rPr>
                      <w:rFonts w:hint="eastAsia"/>
                      <w:sz w:val="21"/>
                    </w:rPr>
                  </w:pPr>
                  <w:r>
                    <w:rPr>
                      <w:rFonts w:hint="eastAsia"/>
                      <w:sz w:val="21"/>
                    </w:rPr>
                    <w:t>距声源5</w:t>
                  </w:r>
                  <w:r>
                    <w:rPr>
                      <w:sz w:val="21"/>
                    </w:rPr>
                    <w:t>m</w:t>
                  </w:r>
                  <w:r>
                    <w:rPr>
                      <w:rFonts w:hint="eastAsia"/>
                      <w:sz w:val="21"/>
                    </w:rPr>
                    <w:t>处</w:t>
                  </w:r>
                </w:p>
              </w:tc>
              <w:tc>
                <w:tcPr>
                  <w:tcW w:w="2079" w:type="dxa"/>
                  <w:vAlign w:val="center"/>
                </w:tcPr>
                <w:p>
                  <w:pPr>
                    <w:pStyle w:val="24"/>
                    <w:spacing w:line="360" w:lineRule="exact"/>
                    <w:ind w:left="420" w:hanging="420"/>
                    <w:jc w:val="center"/>
                    <w:rPr>
                      <w:rFonts w:hint="eastAsia"/>
                      <w:sz w:val="21"/>
                    </w:rPr>
                  </w:pPr>
                  <w:r>
                    <w:rPr>
                      <w:rFonts w:hint="eastAsia"/>
                      <w:sz w:val="21"/>
                    </w:rPr>
                    <w:t>距声源10</w:t>
                  </w:r>
                  <w:r>
                    <w:rPr>
                      <w:sz w:val="21"/>
                    </w:rPr>
                    <w:t>m</w:t>
                  </w:r>
                  <w:r>
                    <w:rPr>
                      <w:rFonts w:hint="eastAsia"/>
                      <w:sz w:val="21"/>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95" w:type="dxa"/>
                  <w:vAlign w:val="center"/>
                </w:tcPr>
                <w:p>
                  <w:pPr>
                    <w:pStyle w:val="24"/>
                    <w:spacing w:line="360" w:lineRule="exact"/>
                    <w:ind w:left="420" w:hanging="420"/>
                    <w:jc w:val="center"/>
                    <w:rPr>
                      <w:rFonts w:hint="eastAsia"/>
                      <w:sz w:val="21"/>
                    </w:rPr>
                  </w:pPr>
                  <w:r>
                    <w:rPr>
                      <w:rFonts w:hint="eastAsia"/>
                      <w:sz w:val="21"/>
                    </w:rPr>
                    <w:t>1</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打桩机</w:t>
                  </w:r>
                </w:p>
              </w:tc>
              <w:tc>
                <w:tcPr>
                  <w:tcW w:w="3040" w:type="dxa"/>
                  <w:vAlign w:val="center"/>
                </w:tcPr>
                <w:p>
                  <w:pPr>
                    <w:pStyle w:val="24"/>
                    <w:spacing w:line="360" w:lineRule="exact"/>
                    <w:ind w:left="420" w:hanging="420"/>
                    <w:jc w:val="center"/>
                    <w:rPr>
                      <w:rFonts w:hint="eastAsia"/>
                      <w:sz w:val="21"/>
                    </w:rPr>
                  </w:pPr>
                  <w:r>
                    <w:rPr>
                      <w:sz w:val="21"/>
                    </w:rPr>
                    <w:t>110</w:t>
                  </w:r>
                </w:p>
              </w:tc>
              <w:tc>
                <w:tcPr>
                  <w:tcW w:w="2079" w:type="dxa"/>
                  <w:vAlign w:val="center"/>
                </w:tcPr>
                <w:p>
                  <w:pPr>
                    <w:pStyle w:val="24"/>
                    <w:spacing w:line="360" w:lineRule="exact"/>
                    <w:ind w:left="420" w:hanging="420"/>
                    <w:jc w:val="center"/>
                    <w:rPr>
                      <w:rFonts w:hint="eastAsia"/>
                      <w:sz w:val="21"/>
                    </w:rPr>
                  </w:pPr>
                  <w:r>
                    <w:rPr>
                      <w:sz w:val="21"/>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1295" w:type="dxa"/>
                  <w:vAlign w:val="center"/>
                </w:tcPr>
                <w:p>
                  <w:pPr>
                    <w:pStyle w:val="24"/>
                    <w:spacing w:line="360" w:lineRule="exact"/>
                    <w:ind w:left="420" w:hanging="420"/>
                    <w:jc w:val="center"/>
                    <w:rPr>
                      <w:rFonts w:hint="eastAsia"/>
                      <w:sz w:val="21"/>
                    </w:rPr>
                  </w:pPr>
                  <w:r>
                    <w:rPr>
                      <w:rFonts w:hint="eastAsia"/>
                      <w:sz w:val="21"/>
                    </w:rPr>
                    <w:t>2</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塔吊</w:t>
                  </w:r>
                </w:p>
              </w:tc>
              <w:tc>
                <w:tcPr>
                  <w:tcW w:w="3040" w:type="dxa"/>
                  <w:vAlign w:val="center"/>
                </w:tcPr>
                <w:p>
                  <w:pPr>
                    <w:pStyle w:val="24"/>
                    <w:spacing w:line="360" w:lineRule="exact"/>
                    <w:ind w:left="420" w:hanging="420"/>
                    <w:jc w:val="center"/>
                    <w:rPr>
                      <w:rFonts w:hint="eastAsia"/>
                      <w:snapToGrid w:val="0"/>
                      <w:w w:val="120"/>
                      <w:sz w:val="21"/>
                    </w:rPr>
                  </w:pPr>
                  <w:r>
                    <w:rPr>
                      <w:sz w:val="21"/>
                    </w:rPr>
                    <w:t>88</w:t>
                  </w:r>
                </w:p>
              </w:tc>
              <w:tc>
                <w:tcPr>
                  <w:tcW w:w="2079" w:type="dxa"/>
                  <w:vAlign w:val="center"/>
                </w:tcPr>
                <w:p>
                  <w:pPr>
                    <w:pStyle w:val="24"/>
                    <w:spacing w:line="360" w:lineRule="exact"/>
                    <w:ind w:left="420" w:hanging="420"/>
                    <w:jc w:val="center"/>
                    <w:rPr>
                      <w:rFonts w:hint="eastAsia"/>
                      <w:sz w:val="21"/>
                    </w:rPr>
                  </w:pPr>
                  <w:r>
                    <w:rPr>
                      <w:sz w:val="21"/>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95" w:type="dxa"/>
                  <w:vAlign w:val="center"/>
                </w:tcPr>
                <w:p>
                  <w:pPr>
                    <w:pStyle w:val="24"/>
                    <w:spacing w:line="360" w:lineRule="exact"/>
                    <w:ind w:left="420" w:hanging="420"/>
                    <w:jc w:val="center"/>
                    <w:rPr>
                      <w:rFonts w:hint="eastAsia"/>
                      <w:sz w:val="21"/>
                    </w:rPr>
                  </w:pPr>
                  <w:r>
                    <w:rPr>
                      <w:rFonts w:hint="eastAsia"/>
                      <w:sz w:val="21"/>
                    </w:rPr>
                    <w:t>3</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混凝土搅拌机</w:t>
                  </w:r>
                </w:p>
              </w:tc>
              <w:tc>
                <w:tcPr>
                  <w:tcW w:w="3040" w:type="dxa"/>
                  <w:vAlign w:val="center"/>
                </w:tcPr>
                <w:p>
                  <w:pPr>
                    <w:pStyle w:val="24"/>
                    <w:spacing w:line="360" w:lineRule="exact"/>
                    <w:ind w:left="420" w:hanging="420"/>
                    <w:jc w:val="center"/>
                    <w:rPr>
                      <w:rFonts w:hint="eastAsia"/>
                      <w:sz w:val="21"/>
                    </w:rPr>
                  </w:pPr>
                  <w:r>
                    <w:rPr>
                      <w:sz w:val="21"/>
                    </w:rPr>
                    <w:t>90</w:t>
                  </w:r>
                </w:p>
              </w:tc>
              <w:tc>
                <w:tcPr>
                  <w:tcW w:w="2079" w:type="dxa"/>
                  <w:vAlign w:val="center"/>
                </w:tcPr>
                <w:p>
                  <w:pPr>
                    <w:pStyle w:val="24"/>
                    <w:spacing w:line="360" w:lineRule="exact"/>
                    <w:ind w:left="420" w:hanging="420"/>
                    <w:jc w:val="center"/>
                    <w:rPr>
                      <w:rFonts w:hint="eastAsia"/>
                      <w:sz w:val="21"/>
                    </w:rPr>
                  </w:pPr>
                  <w:r>
                    <w:rPr>
                      <w:sz w:val="21"/>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1295" w:type="dxa"/>
                  <w:vAlign w:val="center"/>
                </w:tcPr>
                <w:p>
                  <w:pPr>
                    <w:pStyle w:val="24"/>
                    <w:spacing w:line="360" w:lineRule="exact"/>
                    <w:ind w:left="420" w:hanging="420"/>
                    <w:jc w:val="center"/>
                    <w:rPr>
                      <w:rFonts w:hint="eastAsia"/>
                      <w:sz w:val="21"/>
                    </w:rPr>
                  </w:pPr>
                  <w:r>
                    <w:rPr>
                      <w:rFonts w:hint="eastAsia"/>
                      <w:sz w:val="21"/>
                    </w:rPr>
                    <w:t>4</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水泥震捣器</w:t>
                  </w:r>
                </w:p>
              </w:tc>
              <w:tc>
                <w:tcPr>
                  <w:tcW w:w="3040" w:type="dxa"/>
                  <w:vAlign w:val="center"/>
                </w:tcPr>
                <w:p>
                  <w:pPr>
                    <w:pStyle w:val="24"/>
                    <w:spacing w:line="360" w:lineRule="exact"/>
                    <w:ind w:left="420" w:hanging="420"/>
                    <w:jc w:val="center"/>
                    <w:rPr>
                      <w:rFonts w:hint="eastAsia"/>
                      <w:sz w:val="21"/>
                    </w:rPr>
                  </w:pPr>
                  <w:r>
                    <w:rPr>
                      <w:sz w:val="21"/>
                    </w:rPr>
                    <w:t>91</w:t>
                  </w:r>
                </w:p>
              </w:tc>
              <w:tc>
                <w:tcPr>
                  <w:tcW w:w="2079" w:type="dxa"/>
                  <w:vAlign w:val="center"/>
                </w:tcPr>
                <w:p>
                  <w:pPr>
                    <w:pStyle w:val="24"/>
                    <w:spacing w:line="360" w:lineRule="exact"/>
                    <w:ind w:left="420" w:hanging="420"/>
                    <w:jc w:val="center"/>
                    <w:rPr>
                      <w:rFonts w:hint="eastAsia"/>
                      <w:sz w:val="21"/>
                    </w:rPr>
                  </w:pPr>
                  <w:r>
                    <w:rPr>
                      <w:sz w:val="21"/>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95" w:type="dxa"/>
                  <w:vAlign w:val="center"/>
                </w:tcPr>
                <w:p>
                  <w:pPr>
                    <w:pStyle w:val="24"/>
                    <w:spacing w:line="360" w:lineRule="exact"/>
                    <w:ind w:left="420" w:hanging="420"/>
                    <w:jc w:val="center"/>
                    <w:rPr>
                      <w:rFonts w:hint="eastAsia"/>
                      <w:sz w:val="21"/>
                    </w:rPr>
                  </w:pPr>
                  <w:r>
                    <w:rPr>
                      <w:rFonts w:hint="eastAsia"/>
                      <w:sz w:val="21"/>
                    </w:rPr>
                    <w:t>5</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电锯</w:t>
                  </w:r>
                </w:p>
              </w:tc>
              <w:tc>
                <w:tcPr>
                  <w:tcW w:w="3040" w:type="dxa"/>
                  <w:vAlign w:val="center"/>
                </w:tcPr>
                <w:p>
                  <w:pPr>
                    <w:pStyle w:val="24"/>
                    <w:spacing w:line="360" w:lineRule="exact"/>
                    <w:ind w:left="420" w:hanging="420"/>
                    <w:jc w:val="center"/>
                    <w:rPr>
                      <w:rFonts w:hint="eastAsia"/>
                      <w:sz w:val="21"/>
                    </w:rPr>
                  </w:pPr>
                  <w:r>
                    <w:rPr>
                      <w:sz w:val="21"/>
                    </w:rPr>
                    <w:t>9</w:t>
                  </w:r>
                  <w:r>
                    <w:rPr>
                      <w:rFonts w:hint="eastAsia"/>
                      <w:sz w:val="21"/>
                    </w:rPr>
                    <w:t>5</w:t>
                  </w:r>
                </w:p>
              </w:tc>
              <w:tc>
                <w:tcPr>
                  <w:tcW w:w="2079" w:type="dxa"/>
                  <w:vAlign w:val="center"/>
                </w:tcPr>
                <w:p>
                  <w:pPr>
                    <w:pStyle w:val="24"/>
                    <w:spacing w:line="360" w:lineRule="exact"/>
                    <w:ind w:left="420" w:hanging="420"/>
                    <w:jc w:val="center"/>
                    <w:rPr>
                      <w:rFonts w:hint="eastAsia"/>
                      <w:sz w:val="21"/>
                    </w:rPr>
                  </w:pPr>
                  <w:r>
                    <w:rPr>
                      <w:rFonts w:hint="eastAsia"/>
                      <w:sz w:val="21"/>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1295" w:type="dxa"/>
                  <w:vAlign w:val="center"/>
                </w:tcPr>
                <w:p>
                  <w:pPr>
                    <w:pStyle w:val="24"/>
                    <w:spacing w:line="360" w:lineRule="exact"/>
                    <w:ind w:left="420" w:hanging="420"/>
                    <w:jc w:val="center"/>
                    <w:rPr>
                      <w:rFonts w:hint="eastAsia"/>
                      <w:sz w:val="21"/>
                    </w:rPr>
                  </w:pPr>
                  <w:r>
                    <w:rPr>
                      <w:rFonts w:hint="eastAsia"/>
                      <w:sz w:val="21"/>
                    </w:rPr>
                    <w:t>6</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运输车辆</w:t>
                  </w:r>
                </w:p>
              </w:tc>
              <w:tc>
                <w:tcPr>
                  <w:tcW w:w="3040" w:type="dxa"/>
                  <w:vAlign w:val="center"/>
                </w:tcPr>
                <w:p>
                  <w:pPr>
                    <w:pStyle w:val="24"/>
                    <w:spacing w:line="360" w:lineRule="exact"/>
                    <w:ind w:left="420" w:hanging="420"/>
                    <w:jc w:val="center"/>
                    <w:rPr>
                      <w:rFonts w:hint="eastAsia"/>
                      <w:sz w:val="21"/>
                    </w:rPr>
                  </w:pPr>
                  <w:r>
                    <w:rPr>
                      <w:sz w:val="21"/>
                    </w:rPr>
                    <w:t>90</w:t>
                  </w:r>
                </w:p>
              </w:tc>
              <w:tc>
                <w:tcPr>
                  <w:tcW w:w="2079" w:type="dxa"/>
                  <w:vAlign w:val="center"/>
                </w:tcPr>
                <w:p>
                  <w:pPr>
                    <w:pStyle w:val="24"/>
                    <w:spacing w:line="360" w:lineRule="exact"/>
                    <w:ind w:left="420" w:hanging="420"/>
                    <w:jc w:val="center"/>
                    <w:rPr>
                      <w:rFonts w:hint="eastAsia"/>
                      <w:sz w:val="21"/>
                    </w:rPr>
                  </w:pPr>
                  <w:r>
                    <w:rPr>
                      <w:sz w:val="21"/>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95" w:type="dxa"/>
                  <w:vAlign w:val="center"/>
                </w:tcPr>
                <w:p>
                  <w:pPr>
                    <w:pStyle w:val="24"/>
                    <w:spacing w:line="360" w:lineRule="exact"/>
                    <w:ind w:left="420" w:hanging="420"/>
                    <w:jc w:val="center"/>
                    <w:rPr>
                      <w:rFonts w:hint="eastAsia"/>
                      <w:sz w:val="21"/>
                    </w:rPr>
                  </w:pPr>
                  <w:r>
                    <w:rPr>
                      <w:rFonts w:hint="eastAsia"/>
                      <w:sz w:val="21"/>
                    </w:rPr>
                    <w:t>7</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装载机</w:t>
                  </w:r>
                </w:p>
              </w:tc>
              <w:tc>
                <w:tcPr>
                  <w:tcW w:w="3040" w:type="dxa"/>
                  <w:vAlign w:val="center"/>
                </w:tcPr>
                <w:p>
                  <w:pPr>
                    <w:pStyle w:val="24"/>
                    <w:spacing w:line="360" w:lineRule="exact"/>
                    <w:ind w:left="420" w:hanging="420"/>
                    <w:jc w:val="center"/>
                    <w:rPr>
                      <w:rFonts w:hint="eastAsia"/>
                      <w:sz w:val="21"/>
                    </w:rPr>
                  </w:pPr>
                  <w:r>
                    <w:rPr>
                      <w:rFonts w:hint="eastAsia"/>
                      <w:sz w:val="21"/>
                    </w:rPr>
                    <w:t>91</w:t>
                  </w:r>
                </w:p>
              </w:tc>
              <w:tc>
                <w:tcPr>
                  <w:tcW w:w="2079" w:type="dxa"/>
                  <w:vAlign w:val="center"/>
                </w:tcPr>
                <w:p>
                  <w:pPr>
                    <w:pStyle w:val="24"/>
                    <w:spacing w:line="360" w:lineRule="exact"/>
                    <w:ind w:left="420" w:hanging="420"/>
                    <w:jc w:val="center"/>
                    <w:rPr>
                      <w:rFonts w:hint="eastAsia"/>
                      <w:sz w:val="21"/>
                    </w:rPr>
                  </w:pPr>
                  <w:r>
                    <w:rPr>
                      <w:sz w:val="21"/>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95" w:type="dxa"/>
                  <w:vAlign w:val="center"/>
                </w:tcPr>
                <w:p>
                  <w:pPr>
                    <w:pStyle w:val="24"/>
                    <w:spacing w:line="360" w:lineRule="exact"/>
                    <w:ind w:left="420" w:hanging="420"/>
                    <w:jc w:val="center"/>
                    <w:rPr>
                      <w:rFonts w:hint="eastAsia"/>
                      <w:sz w:val="21"/>
                    </w:rPr>
                  </w:pPr>
                  <w:r>
                    <w:rPr>
                      <w:rFonts w:hint="eastAsia"/>
                      <w:sz w:val="21"/>
                    </w:rPr>
                    <w:t>8</w:t>
                  </w:r>
                </w:p>
              </w:tc>
              <w:tc>
                <w:tcPr>
                  <w:tcW w:w="2682" w:type="dxa"/>
                  <w:vAlign w:val="center"/>
                </w:tcPr>
                <w:p>
                  <w:pPr>
                    <w:pStyle w:val="24"/>
                    <w:spacing w:line="360" w:lineRule="exact"/>
                    <w:ind w:left="0" w:firstLine="210" w:firstLineChars="100"/>
                    <w:jc w:val="center"/>
                    <w:rPr>
                      <w:rFonts w:hint="eastAsia"/>
                      <w:sz w:val="21"/>
                    </w:rPr>
                  </w:pPr>
                  <w:r>
                    <w:rPr>
                      <w:rFonts w:hint="eastAsia"/>
                      <w:sz w:val="21"/>
                    </w:rPr>
                    <w:t>挖掘机</w:t>
                  </w:r>
                </w:p>
              </w:tc>
              <w:tc>
                <w:tcPr>
                  <w:tcW w:w="3040" w:type="dxa"/>
                  <w:vAlign w:val="center"/>
                </w:tcPr>
                <w:p>
                  <w:pPr>
                    <w:pStyle w:val="24"/>
                    <w:spacing w:line="360" w:lineRule="exact"/>
                    <w:ind w:left="420" w:hanging="420"/>
                    <w:jc w:val="center"/>
                    <w:rPr>
                      <w:rFonts w:hint="eastAsia"/>
                      <w:sz w:val="21"/>
                    </w:rPr>
                  </w:pPr>
                  <w:r>
                    <w:rPr>
                      <w:rFonts w:hint="eastAsia"/>
                      <w:sz w:val="21"/>
                    </w:rPr>
                    <w:t>77</w:t>
                  </w:r>
                </w:p>
              </w:tc>
              <w:tc>
                <w:tcPr>
                  <w:tcW w:w="2079" w:type="dxa"/>
                  <w:vAlign w:val="center"/>
                </w:tcPr>
                <w:p>
                  <w:pPr>
                    <w:pStyle w:val="24"/>
                    <w:spacing w:line="360" w:lineRule="exact"/>
                    <w:ind w:left="420" w:hanging="420"/>
                    <w:jc w:val="center"/>
                    <w:rPr>
                      <w:rFonts w:hint="eastAsia"/>
                      <w:sz w:val="21"/>
                    </w:rPr>
                  </w:pPr>
                  <w:r>
                    <w:rPr>
                      <w:rFonts w:hint="eastAsia"/>
                      <w:sz w:val="21"/>
                    </w:rPr>
                    <w:t>8</w:t>
                  </w:r>
                </w:p>
              </w:tc>
            </w:tr>
          </w:tbl>
          <w:p>
            <w:pPr>
              <w:snapToGrid w:val="0"/>
              <w:jc w:val="center"/>
              <w:outlineLvl w:val="0"/>
              <w:rPr>
                <w:rFonts w:hint="eastAsia"/>
                <w:sz w:val="24"/>
                <w:szCs w:val="24"/>
              </w:rPr>
            </w:pPr>
            <w:r>
              <w:rPr>
                <w:rFonts w:hint="eastAsia"/>
                <w:sz w:val="24"/>
                <w:szCs w:val="24"/>
              </w:rPr>
              <w:t>表20  建筑施工场地各工程场界噪声值  [</w:t>
            </w:r>
            <w:r>
              <w:rPr>
                <w:sz w:val="24"/>
                <w:szCs w:val="24"/>
              </w:rPr>
              <w:t>dB(A)</w:t>
            </w:r>
            <w:r>
              <w:rPr>
                <w:rFonts w:hint="eastAsia"/>
                <w:sz w:val="24"/>
                <w:szCs w:val="24"/>
              </w:rPr>
              <w:t>]</w:t>
            </w:r>
          </w:p>
          <w:tbl>
            <w:tblPr>
              <w:tblStyle w:val="34"/>
              <w:tblW w:w="9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1"/>
              <w:gridCol w:w="3349"/>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3071" w:type="dxa"/>
                  <w:vAlign w:val="center"/>
                </w:tcPr>
                <w:p>
                  <w:pPr>
                    <w:pStyle w:val="24"/>
                    <w:spacing w:line="360" w:lineRule="exact"/>
                    <w:ind w:left="420" w:hanging="420"/>
                    <w:jc w:val="center"/>
                    <w:rPr>
                      <w:rFonts w:hint="eastAsia"/>
                      <w:sz w:val="21"/>
                    </w:rPr>
                  </w:pPr>
                  <w:r>
                    <w:rPr>
                      <w:rFonts w:hint="eastAsia"/>
                      <w:sz w:val="21"/>
                    </w:rPr>
                    <w:t>序号</w:t>
                  </w:r>
                </w:p>
              </w:tc>
              <w:tc>
                <w:tcPr>
                  <w:tcW w:w="3349" w:type="dxa"/>
                  <w:vAlign w:val="center"/>
                </w:tcPr>
                <w:p>
                  <w:pPr>
                    <w:pStyle w:val="24"/>
                    <w:spacing w:line="360" w:lineRule="exact"/>
                    <w:ind w:left="420" w:hanging="420"/>
                    <w:jc w:val="center"/>
                    <w:rPr>
                      <w:rFonts w:hint="eastAsia"/>
                      <w:sz w:val="21"/>
                    </w:rPr>
                  </w:pPr>
                  <w:r>
                    <w:rPr>
                      <w:rFonts w:hint="eastAsia"/>
                      <w:sz w:val="21"/>
                    </w:rPr>
                    <w:t>工程类别</w:t>
                  </w:r>
                </w:p>
              </w:tc>
              <w:tc>
                <w:tcPr>
                  <w:tcW w:w="2676" w:type="dxa"/>
                  <w:vAlign w:val="center"/>
                </w:tcPr>
                <w:p>
                  <w:pPr>
                    <w:pStyle w:val="24"/>
                    <w:spacing w:line="360" w:lineRule="exact"/>
                    <w:ind w:left="420" w:hanging="420"/>
                    <w:jc w:val="center"/>
                    <w:rPr>
                      <w:rFonts w:hint="eastAsia"/>
                      <w:sz w:val="21"/>
                    </w:rPr>
                  </w:pPr>
                  <w:r>
                    <w:rPr>
                      <w:rFonts w:hint="eastAsia"/>
                      <w:sz w:val="21"/>
                    </w:rPr>
                    <w:t>场界噪声值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3071" w:type="dxa"/>
                  <w:vAlign w:val="center"/>
                </w:tcPr>
                <w:p>
                  <w:pPr>
                    <w:pStyle w:val="24"/>
                    <w:spacing w:line="360" w:lineRule="exact"/>
                    <w:ind w:left="420" w:hanging="420"/>
                    <w:jc w:val="center"/>
                    <w:rPr>
                      <w:rFonts w:hint="eastAsia"/>
                      <w:sz w:val="21"/>
                    </w:rPr>
                  </w:pPr>
                  <w:r>
                    <w:rPr>
                      <w:rFonts w:hint="eastAsia"/>
                      <w:sz w:val="21"/>
                    </w:rPr>
                    <w:t>1</w:t>
                  </w:r>
                </w:p>
              </w:tc>
              <w:tc>
                <w:tcPr>
                  <w:tcW w:w="3349" w:type="dxa"/>
                  <w:vAlign w:val="center"/>
                </w:tcPr>
                <w:p>
                  <w:pPr>
                    <w:pStyle w:val="24"/>
                    <w:spacing w:line="360" w:lineRule="exact"/>
                    <w:ind w:left="0" w:firstLine="210" w:firstLineChars="100"/>
                    <w:jc w:val="center"/>
                    <w:rPr>
                      <w:rFonts w:hint="eastAsia"/>
                      <w:sz w:val="21"/>
                    </w:rPr>
                  </w:pPr>
                  <w:r>
                    <w:rPr>
                      <w:rFonts w:hint="eastAsia"/>
                      <w:sz w:val="21"/>
                    </w:rPr>
                    <w:t>土方工程</w:t>
                  </w:r>
                </w:p>
              </w:tc>
              <w:tc>
                <w:tcPr>
                  <w:tcW w:w="2676" w:type="dxa"/>
                  <w:vAlign w:val="center"/>
                </w:tcPr>
                <w:p>
                  <w:pPr>
                    <w:pStyle w:val="24"/>
                    <w:spacing w:line="360" w:lineRule="exact"/>
                    <w:ind w:left="420" w:hanging="420"/>
                    <w:jc w:val="center"/>
                    <w:rPr>
                      <w:rFonts w:hint="eastAsia"/>
                      <w:sz w:val="21"/>
                    </w:rPr>
                  </w:pPr>
                  <w:r>
                    <w:rPr>
                      <w:rFonts w:hint="eastAsia"/>
                      <w:sz w:val="21"/>
                    </w:rPr>
                    <w:t>80-85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3071" w:type="dxa"/>
                  <w:vAlign w:val="center"/>
                </w:tcPr>
                <w:p>
                  <w:pPr>
                    <w:pStyle w:val="24"/>
                    <w:spacing w:line="360" w:lineRule="exact"/>
                    <w:ind w:left="420" w:hanging="420"/>
                    <w:jc w:val="center"/>
                    <w:rPr>
                      <w:rFonts w:hint="eastAsia"/>
                      <w:sz w:val="21"/>
                    </w:rPr>
                  </w:pPr>
                  <w:r>
                    <w:rPr>
                      <w:rFonts w:hint="eastAsia"/>
                      <w:sz w:val="21"/>
                    </w:rPr>
                    <w:t>2</w:t>
                  </w:r>
                </w:p>
              </w:tc>
              <w:tc>
                <w:tcPr>
                  <w:tcW w:w="3349" w:type="dxa"/>
                  <w:vAlign w:val="center"/>
                </w:tcPr>
                <w:p>
                  <w:pPr>
                    <w:pStyle w:val="24"/>
                    <w:spacing w:line="360" w:lineRule="exact"/>
                    <w:ind w:left="0" w:firstLine="210" w:firstLineChars="100"/>
                    <w:jc w:val="center"/>
                    <w:rPr>
                      <w:rFonts w:hint="eastAsia"/>
                      <w:sz w:val="21"/>
                    </w:rPr>
                  </w:pPr>
                  <w:r>
                    <w:rPr>
                      <w:rFonts w:hint="eastAsia"/>
                      <w:sz w:val="21"/>
                    </w:rPr>
                    <w:t>基础工程</w:t>
                  </w:r>
                </w:p>
              </w:tc>
              <w:tc>
                <w:tcPr>
                  <w:tcW w:w="2676" w:type="dxa"/>
                  <w:vAlign w:val="center"/>
                </w:tcPr>
                <w:p>
                  <w:pPr>
                    <w:pStyle w:val="24"/>
                    <w:spacing w:line="360" w:lineRule="exact"/>
                    <w:ind w:left="420" w:hanging="420"/>
                    <w:jc w:val="center"/>
                    <w:rPr>
                      <w:rFonts w:hint="eastAsia"/>
                      <w:sz w:val="21"/>
                    </w:rPr>
                  </w:pPr>
                  <w:r>
                    <w:rPr>
                      <w:rFonts w:hint="eastAsia"/>
                      <w:sz w:val="21"/>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3071" w:type="dxa"/>
                  <w:vAlign w:val="center"/>
                </w:tcPr>
                <w:p>
                  <w:pPr>
                    <w:pStyle w:val="24"/>
                    <w:spacing w:line="360" w:lineRule="exact"/>
                    <w:ind w:left="420" w:hanging="420"/>
                    <w:jc w:val="center"/>
                    <w:rPr>
                      <w:rFonts w:hint="eastAsia"/>
                      <w:sz w:val="21"/>
                    </w:rPr>
                  </w:pPr>
                  <w:r>
                    <w:rPr>
                      <w:rFonts w:hint="eastAsia"/>
                      <w:sz w:val="21"/>
                    </w:rPr>
                    <w:t>3</w:t>
                  </w:r>
                </w:p>
              </w:tc>
              <w:tc>
                <w:tcPr>
                  <w:tcW w:w="3349" w:type="dxa"/>
                  <w:vAlign w:val="center"/>
                </w:tcPr>
                <w:p>
                  <w:pPr>
                    <w:pStyle w:val="24"/>
                    <w:spacing w:line="360" w:lineRule="exact"/>
                    <w:ind w:left="0" w:firstLine="210" w:firstLineChars="100"/>
                    <w:jc w:val="center"/>
                    <w:rPr>
                      <w:rFonts w:hint="eastAsia"/>
                      <w:sz w:val="21"/>
                    </w:rPr>
                  </w:pPr>
                  <w:r>
                    <w:rPr>
                      <w:rFonts w:hint="eastAsia"/>
                      <w:sz w:val="21"/>
                    </w:rPr>
                    <w:t>混凝土（结构）工程</w:t>
                  </w:r>
                </w:p>
              </w:tc>
              <w:tc>
                <w:tcPr>
                  <w:tcW w:w="2676" w:type="dxa"/>
                  <w:vAlign w:val="center"/>
                </w:tcPr>
                <w:p>
                  <w:pPr>
                    <w:pStyle w:val="24"/>
                    <w:spacing w:line="360" w:lineRule="exact"/>
                    <w:ind w:left="420" w:hanging="420"/>
                    <w:jc w:val="center"/>
                    <w:rPr>
                      <w:rFonts w:hint="eastAsia"/>
                      <w:sz w:val="21"/>
                    </w:rPr>
                  </w:pPr>
                  <w:r>
                    <w:rPr>
                      <w:rFonts w:hint="eastAsia"/>
                      <w:sz w:val="21"/>
                    </w:rPr>
                    <w:t>80-90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3071" w:type="dxa"/>
                  <w:vAlign w:val="center"/>
                </w:tcPr>
                <w:p>
                  <w:pPr>
                    <w:pStyle w:val="24"/>
                    <w:spacing w:line="360" w:lineRule="exact"/>
                    <w:ind w:left="420" w:hanging="420"/>
                    <w:jc w:val="center"/>
                    <w:rPr>
                      <w:rFonts w:hint="eastAsia"/>
                      <w:sz w:val="21"/>
                    </w:rPr>
                  </w:pPr>
                  <w:r>
                    <w:rPr>
                      <w:rFonts w:hint="eastAsia"/>
                      <w:sz w:val="21"/>
                    </w:rPr>
                    <w:t>4</w:t>
                  </w:r>
                </w:p>
              </w:tc>
              <w:tc>
                <w:tcPr>
                  <w:tcW w:w="3349" w:type="dxa"/>
                  <w:vAlign w:val="center"/>
                </w:tcPr>
                <w:p>
                  <w:pPr>
                    <w:pStyle w:val="24"/>
                    <w:spacing w:line="360" w:lineRule="exact"/>
                    <w:ind w:left="0" w:firstLine="210" w:firstLineChars="100"/>
                    <w:jc w:val="center"/>
                    <w:rPr>
                      <w:rFonts w:hint="eastAsia"/>
                      <w:sz w:val="21"/>
                    </w:rPr>
                  </w:pPr>
                  <w:r>
                    <w:rPr>
                      <w:rFonts w:hint="eastAsia"/>
                      <w:sz w:val="21"/>
                    </w:rPr>
                    <w:t>装饰工程</w:t>
                  </w:r>
                </w:p>
              </w:tc>
              <w:tc>
                <w:tcPr>
                  <w:tcW w:w="2676" w:type="dxa"/>
                  <w:vAlign w:val="center"/>
                </w:tcPr>
                <w:p>
                  <w:pPr>
                    <w:pStyle w:val="24"/>
                    <w:spacing w:line="360" w:lineRule="exact"/>
                    <w:ind w:left="420" w:hanging="420"/>
                    <w:jc w:val="center"/>
                    <w:rPr>
                      <w:rFonts w:hint="eastAsia"/>
                      <w:sz w:val="21"/>
                    </w:rPr>
                  </w:pPr>
                  <w:r>
                    <w:rPr>
                      <w:rFonts w:hint="eastAsia"/>
                      <w:sz w:val="21"/>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3071" w:type="dxa"/>
                  <w:vAlign w:val="center"/>
                </w:tcPr>
                <w:p>
                  <w:pPr>
                    <w:pStyle w:val="24"/>
                    <w:spacing w:line="360" w:lineRule="exact"/>
                    <w:ind w:left="420" w:hanging="420"/>
                    <w:jc w:val="center"/>
                    <w:rPr>
                      <w:rFonts w:hint="eastAsia"/>
                      <w:sz w:val="21"/>
                    </w:rPr>
                  </w:pPr>
                  <w:r>
                    <w:rPr>
                      <w:rFonts w:hint="eastAsia"/>
                      <w:sz w:val="21"/>
                    </w:rPr>
                    <w:t>5</w:t>
                  </w:r>
                </w:p>
              </w:tc>
              <w:tc>
                <w:tcPr>
                  <w:tcW w:w="3349" w:type="dxa"/>
                  <w:vAlign w:val="center"/>
                </w:tcPr>
                <w:p>
                  <w:pPr>
                    <w:pStyle w:val="24"/>
                    <w:spacing w:line="360" w:lineRule="exact"/>
                    <w:ind w:left="0" w:firstLine="210" w:firstLineChars="100"/>
                    <w:jc w:val="center"/>
                    <w:rPr>
                      <w:rFonts w:hint="eastAsia"/>
                      <w:sz w:val="21"/>
                    </w:rPr>
                  </w:pPr>
                  <w:r>
                    <w:rPr>
                      <w:rFonts w:hint="eastAsia"/>
                      <w:sz w:val="21"/>
                    </w:rPr>
                    <w:t>（家庭）装修期</w:t>
                  </w:r>
                </w:p>
              </w:tc>
              <w:tc>
                <w:tcPr>
                  <w:tcW w:w="2676" w:type="dxa"/>
                  <w:vAlign w:val="center"/>
                </w:tcPr>
                <w:p>
                  <w:pPr>
                    <w:pStyle w:val="24"/>
                    <w:spacing w:line="360" w:lineRule="exact"/>
                    <w:ind w:left="420" w:hanging="420"/>
                    <w:jc w:val="center"/>
                    <w:rPr>
                      <w:rFonts w:hint="eastAsia"/>
                      <w:sz w:val="21"/>
                    </w:rPr>
                  </w:pPr>
                  <w:r>
                    <w:rPr>
                      <w:rFonts w:hint="eastAsia"/>
                      <w:sz w:val="21"/>
                    </w:rPr>
                    <w:t>85-95</w:t>
                  </w:r>
                </w:p>
              </w:tc>
            </w:tr>
          </w:tbl>
          <w:p>
            <w:pPr>
              <w:adjustRightInd w:val="0"/>
              <w:snapToGrid w:val="0"/>
              <w:spacing w:line="360" w:lineRule="auto"/>
              <w:ind w:left="140" w:leftChars="50" w:right="140" w:rightChars="50" w:firstLine="480" w:firstLineChars="200"/>
              <w:rPr>
                <w:rFonts w:hint="eastAsia"/>
                <w:sz w:val="24"/>
                <w:szCs w:val="24"/>
              </w:rPr>
            </w:pPr>
            <w:r>
              <w:rPr>
                <w:rFonts w:hint="eastAsia"/>
                <w:sz w:val="24"/>
                <w:szCs w:val="24"/>
              </w:rPr>
              <w:t>（3）施工期废水</w:t>
            </w:r>
          </w:p>
          <w:p>
            <w:pPr>
              <w:pStyle w:val="6"/>
              <w:adjustRightInd w:val="0"/>
              <w:snapToGrid w:val="0"/>
              <w:spacing w:line="360" w:lineRule="auto"/>
              <w:ind w:left="113" w:right="113" w:firstLine="200"/>
              <w:rPr>
                <w:rFonts w:hint="eastAsia"/>
                <w:sz w:val="24"/>
                <w:szCs w:val="24"/>
              </w:rPr>
            </w:pPr>
            <w:r>
              <w:rPr>
                <w:rFonts w:hint="eastAsia"/>
                <w:sz w:val="24"/>
                <w:szCs w:val="24"/>
              </w:rPr>
              <w:t xml:space="preserve">  拟建项目施工期废水来源于工程用水和生活用水。</w:t>
            </w:r>
          </w:p>
          <w:p>
            <w:pPr>
              <w:pStyle w:val="6"/>
              <w:adjustRightInd w:val="0"/>
              <w:snapToGrid w:val="0"/>
              <w:spacing w:line="360" w:lineRule="auto"/>
              <w:ind w:left="113" w:right="140" w:rightChars="50" w:firstLine="200"/>
              <w:rPr>
                <w:rFonts w:hint="eastAsia"/>
                <w:sz w:val="24"/>
                <w:szCs w:val="24"/>
              </w:rPr>
            </w:pPr>
            <w:r>
              <w:rPr>
                <w:rFonts w:hint="eastAsia"/>
                <w:sz w:val="24"/>
                <w:szCs w:val="24"/>
              </w:rPr>
              <w:t xml:space="preserve">  工程用水主要为混凝土、砂浆制备和浇注、养护用水，以及施工物料冲洗、各种施工机械设备及运输车辆的冲洗水、抑尘喷洒水等。</w:t>
            </w:r>
          </w:p>
          <w:p>
            <w:pPr>
              <w:pStyle w:val="6"/>
              <w:adjustRightInd w:val="0"/>
              <w:snapToGrid w:val="0"/>
              <w:spacing w:line="360" w:lineRule="auto"/>
              <w:ind w:left="113" w:right="113" w:firstLine="200"/>
              <w:rPr>
                <w:rFonts w:hint="eastAsia"/>
                <w:sz w:val="24"/>
                <w:szCs w:val="24"/>
              </w:rPr>
            </w:pPr>
            <w:r>
              <w:rPr>
                <w:rFonts w:hint="eastAsia"/>
                <w:sz w:val="24"/>
                <w:szCs w:val="24"/>
              </w:rPr>
              <w:t xml:space="preserve">  施工期污水是由于施工队伍的生活活动造成的，包括食堂污水、洗涤废水和冲厕水。上述污水的水量一般不会很大，但如果不经处理或处理不当，同样会危害环境。</w:t>
            </w:r>
          </w:p>
          <w:p>
            <w:pPr>
              <w:pStyle w:val="6"/>
              <w:adjustRightInd w:val="0"/>
              <w:snapToGrid w:val="0"/>
              <w:spacing w:line="360" w:lineRule="auto"/>
              <w:ind w:left="113" w:right="113" w:firstLine="200"/>
              <w:rPr>
                <w:rFonts w:hint="eastAsia"/>
                <w:sz w:val="24"/>
                <w:szCs w:val="24"/>
              </w:rPr>
            </w:pPr>
            <w:r>
              <w:rPr>
                <w:rFonts w:hint="eastAsia"/>
                <w:sz w:val="24"/>
                <w:szCs w:val="24"/>
              </w:rPr>
              <w:t xml:space="preserve">  根据同类建筑类型和规模计算的本项目施工期废水源强分析如表21。</w:t>
            </w:r>
          </w:p>
          <w:p>
            <w:pPr>
              <w:snapToGrid w:val="0"/>
              <w:jc w:val="center"/>
              <w:outlineLvl w:val="0"/>
              <w:rPr>
                <w:rFonts w:hint="eastAsia"/>
                <w:sz w:val="24"/>
                <w:szCs w:val="24"/>
              </w:rPr>
            </w:pPr>
            <w:r>
              <w:rPr>
                <w:rFonts w:hint="eastAsia"/>
                <w:sz w:val="24"/>
                <w:szCs w:val="24"/>
              </w:rPr>
              <w:t>表21  施工期废水源强分析结果</w:t>
            </w:r>
          </w:p>
          <w:tbl>
            <w:tblPr>
              <w:tblStyle w:val="34"/>
              <w:tblW w:w="9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235"/>
              <w:gridCol w:w="1239"/>
              <w:gridCol w:w="911"/>
              <w:gridCol w:w="1121"/>
              <w:gridCol w:w="734"/>
              <w:gridCol w:w="856"/>
              <w:gridCol w:w="1050"/>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11" w:hRule="atLeast"/>
                <w:jc w:val="center"/>
              </w:trPr>
              <w:tc>
                <w:tcPr>
                  <w:tcW w:w="1367" w:type="dxa"/>
                  <w:vMerge w:val="restart"/>
                  <w:vAlign w:val="center"/>
                </w:tcPr>
                <w:p>
                  <w:pPr>
                    <w:pStyle w:val="6"/>
                    <w:spacing w:line="360" w:lineRule="exact"/>
                    <w:ind w:firstLine="0"/>
                    <w:jc w:val="center"/>
                    <w:rPr>
                      <w:rFonts w:hint="eastAsia"/>
                      <w:sz w:val="21"/>
                      <w:szCs w:val="21"/>
                    </w:rPr>
                  </w:pPr>
                  <w:r>
                    <w:rPr>
                      <w:rFonts w:hint="eastAsia"/>
                      <w:sz w:val="21"/>
                      <w:szCs w:val="21"/>
                    </w:rPr>
                    <w:t>废水种类</w:t>
                  </w:r>
                </w:p>
              </w:tc>
              <w:tc>
                <w:tcPr>
                  <w:tcW w:w="2474" w:type="dxa"/>
                  <w:gridSpan w:val="2"/>
                  <w:vAlign w:val="center"/>
                </w:tcPr>
                <w:p>
                  <w:pPr>
                    <w:pStyle w:val="6"/>
                    <w:spacing w:line="360" w:lineRule="exact"/>
                    <w:ind w:firstLine="0"/>
                    <w:jc w:val="center"/>
                    <w:rPr>
                      <w:rFonts w:hint="eastAsia"/>
                      <w:sz w:val="21"/>
                      <w:szCs w:val="21"/>
                    </w:rPr>
                  </w:pPr>
                  <w:r>
                    <w:rPr>
                      <w:rFonts w:hint="eastAsia"/>
                      <w:sz w:val="21"/>
                      <w:szCs w:val="21"/>
                    </w:rPr>
                    <w:t>废水产生量（t/d）</w:t>
                  </w:r>
                </w:p>
              </w:tc>
              <w:tc>
                <w:tcPr>
                  <w:tcW w:w="2766" w:type="dxa"/>
                  <w:gridSpan w:val="3"/>
                  <w:vAlign w:val="center"/>
                </w:tcPr>
                <w:p>
                  <w:pPr>
                    <w:pStyle w:val="6"/>
                    <w:spacing w:line="360" w:lineRule="exact"/>
                    <w:ind w:firstLine="0"/>
                    <w:jc w:val="center"/>
                    <w:rPr>
                      <w:rFonts w:hint="eastAsia"/>
                      <w:spacing w:val="-20"/>
                      <w:sz w:val="21"/>
                      <w:szCs w:val="21"/>
                    </w:rPr>
                  </w:pPr>
                  <w:r>
                    <w:rPr>
                      <w:rFonts w:hint="eastAsia"/>
                      <w:spacing w:val="-20"/>
                      <w:sz w:val="21"/>
                      <w:szCs w:val="21"/>
                    </w:rPr>
                    <w:t>污染物排放浓度（</w:t>
                  </w:r>
                  <w:r>
                    <w:rPr>
                      <w:rFonts w:hint="eastAsia"/>
                      <w:sz w:val="21"/>
                      <w:szCs w:val="21"/>
                    </w:rPr>
                    <w:t>mg/l</w:t>
                  </w:r>
                  <w:r>
                    <w:rPr>
                      <w:rFonts w:hint="eastAsia"/>
                      <w:spacing w:val="-20"/>
                      <w:sz w:val="21"/>
                      <w:szCs w:val="21"/>
                    </w:rPr>
                    <w:t>）</w:t>
                  </w:r>
                </w:p>
              </w:tc>
              <w:tc>
                <w:tcPr>
                  <w:tcW w:w="2489" w:type="dxa"/>
                  <w:gridSpan w:val="3"/>
                  <w:vAlign w:val="center"/>
                </w:tcPr>
                <w:p>
                  <w:pPr>
                    <w:pStyle w:val="6"/>
                    <w:spacing w:line="360" w:lineRule="exact"/>
                    <w:ind w:firstLine="0"/>
                    <w:jc w:val="center"/>
                    <w:rPr>
                      <w:rFonts w:hint="eastAsia"/>
                      <w:sz w:val="21"/>
                      <w:szCs w:val="21"/>
                    </w:rPr>
                  </w:pPr>
                  <w:r>
                    <w:rPr>
                      <w:rFonts w:hint="eastAsia"/>
                      <w:sz w:val="21"/>
                      <w:szCs w:val="21"/>
                    </w:rPr>
                    <w:t>排放源强（mg/d）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 w:hRule="atLeast"/>
                <w:jc w:val="center"/>
              </w:trPr>
              <w:tc>
                <w:tcPr>
                  <w:tcW w:w="1367" w:type="dxa"/>
                  <w:vMerge w:val="continue"/>
                  <w:vAlign w:val="center"/>
                </w:tcPr>
                <w:p>
                  <w:pPr>
                    <w:pStyle w:val="6"/>
                    <w:spacing w:line="360" w:lineRule="exact"/>
                    <w:ind w:firstLine="0"/>
                    <w:jc w:val="center"/>
                    <w:rPr>
                      <w:rFonts w:hint="eastAsia"/>
                      <w:b/>
                      <w:bCs/>
                      <w:sz w:val="21"/>
                      <w:szCs w:val="21"/>
                    </w:rPr>
                  </w:pPr>
                </w:p>
              </w:tc>
              <w:tc>
                <w:tcPr>
                  <w:tcW w:w="1235" w:type="dxa"/>
                  <w:vAlign w:val="center"/>
                </w:tcPr>
                <w:p>
                  <w:pPr>
                    <w:pStyle w:val="6"/>
                    <w:spacing w:line="360" w:lineRule="exact"/>
                    <w:ind w:firstLine="0"/>
                    <w:jc w:val="center"/>
                    <w:rPr>
                      <w:rFonts w:hint="eastAsia"/>
                      <w:sz w:val="21"/>
                      <w:szCs w:val="21"/>
                    </w:rPr>
                  </w:pPr>
                  <w:r>
                    <w:rPr>
                      <w:rFonts w:hint="eastAsia"/>
                      <w:sz w:val="21"/>
                      <w:szCs w:val="21"/>
                    </w:rPr>
                    <w:t>用水量</w:t>
                  </w:r>
                </w:p>
              </w:tc>
              <w:tc>
                <w:tcPr>
                  <w:tcW w:w="1239" w:type="dxa"/>
                  <w:vAlign w:val="center"/>
                </w:tcPr>
                <w:p>
                  <w:pPr>
                    <w:pStyle w:val="6"/>
                    <w:spacing w:line="360" w:lineRule="exact"/>
                    <w:ind w:firstLine="0"/>
                    <w:jc w:val="center"/>
                    <w:rPr>
                      <w:rFonts w:hint="eastAsia"/>
                      <w:sz w:val="21"/>
                      <w:szCs w:val="21"/>
                    </w:rPr>
                  </w:pPr>
                  <w:r>
                    <w:rPr>
                      <w:rFonts w:hint="eastAsia"/>
                      <w:sz w:val="21"/>
                      <w:szCs w:val="21"/>
                    </w:rPr>
                    <w:t>废水量</w:t>
                  </w:r>
                </w:p>
              </w:tc>
              <w:tc>
                <w:tcPr>
                  <w:tcW w:w="911" w:type="dxa"/>
                  <w:vAlign w:val="center"/>
                </w:tcPr>
                <w:p>
                  <w:pPr>
                    <w:pStyle w:val="6"/>
                    <w:spacing w:line="360" w:lineRule="exact"/>
                    <w:ind w:firstLine="0"/>
                    <w:jc w:val="center"/>
                    <w:rPr>
                      <w:rFonts w:hint="eastAsia"/>
                      <w:sz w:val="21"/>
                      <w:szCs w:val="21"/>
                    </w:rPr>
                  </w:pPr>
                  <w:r>
                    <w:rPr>
                      <w:sz w:val="21"/>
                      <w:szCs w:val="21"/>
                    </w:rPr>
                    <w:t>COD</w:t>
                  </w:r>
                </w:p>
              </w:tc>
              <w:tc>
                <w:tcPr>
                  <w:tcW w:w="1121" w:type="dxa"/>
                  <w:vAlign w:val="center"/>
                </w:tcPr>
                <w:p>
                  <w:pPr>
                    <w:pStyle w:val="6"/>
                    <w:spacing w:line="360" w:lineRule="exact"/>
                    <w:ind w:firstLine="0"/>
                    <w:jc w:val="center"/>
                    <w:rPr>
                      <w:rFonts w:hint="eastAsia"/>
                      <w:sz w:val="21"/>
                      <w:szCs w:val="21"/>
                    </w:rPr>
                  </w:pPr>
                  <w:r>
                    <w:rPr>
                      <w:sz w:val="21"/>
                      <w:szCs w:val="21"/>
                    </w:rPr>
                    <w:t>NH</w:t>
                  </w:r>
                  <w:r>
                    <w:rPr>
                      <w:sz w:val="21"/>
                      <w:szCs w:val="21"/>
                      <w:vertAlign w:val="subscript"/>
                    </w:rPr>
                    <w:t>3</w:t>
                  </w:r>
                  <w:r>
                    <w:rPr>
                      <w:sz w:val="21"/>
                      <w:szCs w:val="21"/>
                    </w:rPr>
                    <w:t>-N</w:t>
                  </w:r>
                </w:p>
              </w:tc>
              <w:tc>
                <w:tcPr>
                  <w:tcW w:w="734" w:type="dxa"/>
                  <w:vAlign w:val="center"/>
                </w:tcPr>
                <w:p>
                  <w:pPr>
                    <w:pStyle w:val="6"/>
                    <w:spacing w:line="360" w:lineRule="exact"/>
                    <w:ind w:firstLine="0"/>
                    <w:jc w:val="center"/>
                    <w:rPr>
                      <w:rFonts w:hint="eastAsia"/>
                      <w:sz w:val="21"/>
                      <w:szCs w:val="21"/>
                    </w:rPr>
                  </w:pPr>
                  <w:r>
                    <w:rPr>
                      <w:rFonts w:hint="eastAsia"/>
                      <w:sz w:val="21"/>
                      <w:szCs w:val="21"/>
                    </w:rPr>
                    <w:t>SS</w:t>
                  </w:r>
                </w:p>
              </w:tc>
              <w:tc>
                <w:tcPr>
                  <w:tcW w:w="856" w:type="dxa"/>
                  <w:vAlign w:val="center"/>
                </w:tcPr>
                <w:p>
                  <w:pPr>
                    <w:pStyle w:val="6"/>
                    <w:spacing w:line="360" w:lineRule="exact"/>
                    <w:ind w:firstLine="0"/>
                    <w:jc w:val="center"/>
                    <w:rPr>
                      <w:rFonts w:hint="eastAsia"/>
                      <w:sz w:val="21"/>
                      <w:szCs w:val="21"/>
                    </w:rPr>
                  </w:pPr>
                  <w:r>
                    <w:rPr>
                      <w:sz w:val="21"/>
                      <w:szCs w:val="21"/>
                    </w:rPr>
                    <w:t>COD</w:t>
                  </w:r>
                </w:p>
              </w:tc>
              <w:tc>
                <w:tcPr>
                  <w:tcW w:w="1050" w:type="dxa"/>
                  <w:vAlign w:val="center"/>
                </w:tcPr>
                <w:p>
                  <w:pPr>
                    <w:pStyle w:val="6"/>
                    <w:spacing w:line="360" w:lineRule="exact"/>
                    <w:ind w:firstLine="0"/>
                    <w:jc w:val="center"/>
                    <w:rPr>
                      <w:rFonts w:hint="eastAsia"/>
                      <w:sz w:val="21"/>
                      <w:szCs w:val="21"/>
                    </w:rPr>
                  </w:pPr>
                  <w:r>
                    <w:rPr>
                      <w:sz w:val="21"/>
                      <w:szCs w:val="21"/>
                    </w:rPr>
                    <w:t>NH</w:t>
                  </w:r>
                  <w:r>
                    <w:rPr>
                      <w:sz w:val="21"/>
                      <w:szCs w:val="21"/>
                      <w:vertAlign w:val="subscript"/>
                    </w:rPr>
                    <w:t>3</w:t>
                  </w:r>
                  <w:r>
                    <w:rPr>
                      <w:sz w:val="21"/>
                      <w:szCs w:val="21"/>
                    </w:rPr>
                    <w:t>-N</w:t>
                  </w:r>
                </w:p>
              </w:tc>
              <w:tc>
                <w:tcPr>
                  <w:tcW w:w="583" w:type="dxa"/>
                  <w:vAlign w:val="center"/>
                </w:tcPr>
                <w:p>
                  <w:pPr>
                    <w:pStyle w:val="6"/>
                    <w:spacing w:line="360" w:lineRule="exact"/>
                    <w:ind w:firstLine="0"/>
                    <w:jc w:val="center"/>
                    <w:rPr>
                      <w:rFonts w:hint="eastAsia"/>
                      <w:sz w:val="21"/>
                      <w:szCs w:val="21"/>
                    </w:rPr>
                  </w:pPr>
                  <w:r>
                    <w:rPr>
                      <w:rFonts w:hint="eastAsia"/>
                      <w:sz w:val="21"/>
                      <w:szCs w:val="21"/>
                    </w:rPr>
                    <w:t>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jc w:val="center"/>
              </w:trPr>
              <w:tc>
                <w:tcPr>
                  <w:tcW w:w="1367" w:type="dxa"/>
                  <w:vAlign w:val="center"/>
                </w:tcPr>
                <w:p>
                  <w:pPr>
                    <w:pStyle w:val="6"/>
                    <w:spacing w:line="360" w:lineRule="exact"/>
                    <w:ind w:firstLine="0"/>
                    <w:jc w:val="center"/>
                    <w:rPr>
                      <w:rFonts w:hint="eastAsia"/>
                      <w:b/>
                      <w:bCs/>
                      <w:sz w:val="21"/>
                      <w:szCs w:val="21"/>
                    </w:rPr>
                  </w:pPr>
                  <w:r>
                    <w:rPr>
                      <w:rFonts w:hint="eastAsia"/>
                      <w:sz w:val="21"/>
                      <w:szCs w:val="21"/>
                    </w:rPr>
                    <w:t>工程废水</w:t>
                  </w:r>
                </w:p>
              </w:tc>
              <w:tc>
                <w:tcPr>
                  <w:tcW w:w="1235" w:type="dxa"/>
                  <w:vAlign w:val="center"/>
                </w:tcPr>
                <w:p>
                  <w:pPr>
                    <w:pStyle w:val="6"/>
                    <w:spacing w:line="360" w:lineRule="exact"/>
                    <w:ind w:firstLine="0"/>
                    <w:jc w:val="center"/>
                    <w:rPr>
                      <w:rFonts w:hint="eastAsia"/>
                      <w:sz w:val="21"/>
                      <w:szCs w:val="21"/>
                    </w:rPr>
                  </w:pPr>
                  <w:r>
                    <w:rPr>
                      <w:rFonts w:hint="eastAsia"/>
                      <w:sz w:val="21"/>
                      <w:szCs w:val="21"/>
                    </w:rPr>
                    <w:t>11.00</w:t>
                  </w:r>
                </w:p>
              </w:tc>
              <w:tc>
                <w:tcPr>
                  <w:tcW w:w="1239" w:type="dxa"/>
                  <w:vAlign w:val="center"/>
                </w:tcPr>
                <w:p>
                  <w:pPr>
                    <w:pStyle w:val="6"/>
                    <w:spacing w:line="360" w:lineRule="exact"/>
                    <w:ind w:firstLine="0"/>
                    <w:jc w:val="center"/>
                    <w:rPr>
                      <w:rFonts w:hint="eastAsia"/>
                      <w:sz w:val="21"/>
                      <w:szCs w:val="21"/>
                    </w:rPr>
                  </w:pPr>
                  <w:r>
                    <w:rPr>
                      <w:rFonts w:hint="eastAsia"/>
                      <w:sz w:val="21"/>
                      <w:szCs w:val="21"/>
                    </w:rPr>
                    <w:t>9.35</w:t>
                  </w:r>
                </w:p>
              </w:tc>
              <w:tc>
                <w:tcPr>
                  <w:tcW w:w="911" w:type="dxa"/>
                  <w:vAlign w:val="center"/>
                </w:tcPr>
                <w:p>
                  <w:pPr>
                    <w:pStyle w:val="6"/>
                    <w:spacing w:line="360" w:lineRule="exact"/>
                    <w:ind w:firstLine="0"/>
                    <w:jc w:val="center"/>
                    <w:rPr>
                      <w:rFonts w:hint="eastAsia"/>
                      <w:sz w:val="21"/>
                      <w:szCs w:val="21"/>
                    </w:rPr>
                  </w:pPr>
                  <w:r>
                    <w:rPr>
                      <w:rFonts w:hint="eastAsia"/>
                      <w:sz w:val="21"/>
                      <w:szCs w:val="21"/>
                    </w:rPr>
                    <w:t>50</w:t>
                  </w:r>
                </w:p>
              </w:tc>
              <w:tc>
                <w:tcPr>
                  <w:tcW w:w="1121" w:type="dxa"/>
                  <w:vAlign w:val="center"/>
                </w:tcPr>
                <w:p>
                  <w:pPr>
                    <w:pStyle w:val="6"/>
                    <w:spacing w:line="360" w:lineRule="exact"/>
                    <w:ind w:firstLine="0"/>
                    <w:jc w:val="center"/>
                    <w:rPr>
                      <w:rFonts w:hint="eastAsia"/>
                      <w:sz w:val="21"/>
                      <w:szCs w:val="21"/>
                    </w:rPr>
                  </w:pPr>
                  <w:r>
                    <w:rPr>
                      <w:rFonts w:hint="eastAsia"/>
                      <w:sz w:val="21"/>
                      <w:szCs w:val="21"/>
                    </w:rPr>
                    <w:t>--</w:t>
                  </w:r>
                </w:p>
              </w:tc>
              <w:tc>
                <w:tcPr>
                  <w:tcW w:w="734" w:type="dxa"/>
                  <w:vAlign w:val="center"/>
                </w:tcPr>
                <w:p>
                  <w:pPr>
                    <w:pStyle w:val="6"/>
                    <w:spacing w:line="360" w:lineRule="exact"/>
                    <w:ind w:firstLine="0"/>
                    <w:jc w:val="center"/>
                    <w:rPr>
                      <w:rFonts w:hint="eastAsia"/>
                      <w:sz w:val="21"/>
                      <w:szCs w:val="21"/>
                    </w:rPr>
                  </w:pPr>
                  <w:r>
                    <w:rPr>
                      <w:rFonts w:hint="eastAsia"/>
                      <w:sz w:val="21"/>
                      <w:szCs w:val="21"/>
                    </w:rPr>
                    <w:t>500</w:t>
                  </w:r>
                </w:p>
              </w:tc>
              <w:tc>
                <w:tcPr>
                  <w:tcW w:w="856" w:type="dxa"/>
                  <w:vAlign w:val="center"/>
                </w:tcPr>
                <w:p>
                  <w:pPr>
                    <w:pStyle w:val="6"/>
                    <w:spacing w:line="360" w:lineRule="exact"/>
                    <w:ind w:firstLine="0"/>
                    <w:jc w:val="center"/>
                    <w:rPr>
                      <w:rFonts w:hint="eastAsia"/>
                      <w:sz w:val="21"/>
                      <w:szCs w:val="21"/>
                    </w:rPr>
                  </w:pPr>
                  <w:r>
                    <w:rPr>
                      <w:rFonts w:hint="eastAsia"/>
                      <w:sz w:val="21"/>
                      <w:szCs w:val="21"/>
                    </w:rPr>
                    <w:t>/</w:t>
                  </w:r>
                </w:p>
              </w:tc>
              <w:tc>
                <w:tcPr>
                  <w:tcW w:w="1050" w:type="dxa"/>
                  <w:vAlign w:val="center"/>
                </w:tcPr>
                <w:p>
                  <w:pPr>
                    <w:pStyle w:val="6"/>
                    <w:spacing w:line="360" w:lineRule="exact"/>
                    <w:ind w:firstLine="0"/>
                    <w:jc w:val="center"/>
                    <w:rPr>
                      <w:rFonts w:hint="eastAsia"/>
                      <w:sz w:val="21"/>
                      <w:szCs w:val="21"/>
                    </w:rPr>
                  </w:pPr>
                  <w:r>
                    <w:rPr>
                      <w:rFonts w:hint="eastAsia"/>
                      <w:sz w:val="21"/>
                      <w:szCs w:val="21"/>
                    </w:rPr>
                    <w:t>/</w:t>
                  </w:r>
                </w:p>
              </w:tc>
              <w:tc>
                <w:tcPr>
                  <w:tcW w:w="583" w:type="dxa"/>
                  <w:vAlign w:val="center"/>
                </w:tcPr>
                <w:p>
                  <w:pPr>
                    <w:pStyle w:val="6"/>
                    <w:spacing w:line="360" w:lineRule="exact"/>
                    <w:ind w:firstLine="0"/>
                    <w:jc w:val="center"/>
                    <w:rPr>
                      <w:rFonts w:hint="eastAsia"/>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jc w:val="center"/>
              </w:trPr>
              <w:tc>
                <w:tcPr>
                  <w:tcW w:w="1367" w:type="dxa"/>
                  <w:vAlign w:val="center"/>
                </w:tcPr>
                <w:p>
                  <w:pPr>
                    <w:pStyle w:val="6"/>
                    <w:spacing w:line="360" w:lineRule="exact"/>
                    <w:ind w:firstLine="0"/>
                    <w:jc w:val="center"/>
                    <w:rPr>
                      <w:rFonts w:hint="eastAsia"/>
                      <w:sz w:val="21"/>
                      <w:szCs w:val="21"/>
                    </w:rPr>
                  </w:pPr>
                  <w:r>
                    <w:rPr>
                      <w:rFonts w:hint="eastAsia"/>
                      <w:sz w:val="21"/>
                      <w:szCs w:val="21"/>
                    </w:rPr>
                    <w:t>生活污水</w:t>
                  </w:r>
                </w:p>
              </w:tc>
              <w:tc>
                <w:tcPr>
                  <w:tcW w:w="1235" w:type="dxa"/>
                  <w:vAlign w:val="center"/>
                </w:tcPr>
                <w:p>
                  <w:pPr>
                    <w:pStyle w:val="6"/>
                    <w:spacing w:line="360" w:lineRule="exact"/>
                    <w:ind w:firstLine="0"/>
                    <w:jc w:val="center"/>
                    <w:rPr>
                      <w:rFonts w:hint="eastAsia"/>
                      <w:sz w:val="21"/>
                      <w:szCs w:val="21"/>
                    </w:rPr>
                  </w:pPr>
                  <w:r>
                    <w:rPr>
                      <w:rFonts w:hint="eastAsia"/>
                      <w:sz w:val="21"/>
                      <w:szCs w:val="21"/>
                    </w:rPr>
                    <w:t>8.00</w:t>
                  </w:r>
                </w:p>
              </w:tc>
              <w:tc>
                <w:tcPr>
                  <w:tcW w:w="1239" w:type="dxa"/>
                  <w:vAlign w:val="center"/>
                </w:tcPr>
                <w:p>
                  <w:pPr>
                    <w:pStyle w:val="6"/>
                    <w:spacing w:line="360" w:lineRule="exact"/>
                    <w:ind w:firstLine="0"/>
                    <w:jc w:val="center"/>
                    <w:rPr>
                      <w:rFonts w:hint="eastAsia"/>
                      <w:sz w:val="21"/>
                      <w:szCs w:val="21"/>
                    </w:rPr>
                  </w:pPr>
                  <w:r>
                    <w:rPr>
                      <w:rFonts w:hint="eastAsia"/>
                      <w:sz w:val="21"/>
                      <w:szCs w:val="21"/>
                    </w:rPr>
                    <w:t>6.80</w:t>
                  </w:r>
                </w:p>
              </w:tc>
              <w:tc>
                <w:tcPr>
                  <w:tcW w:w="911" w:type="dxa"/>
                  <w:vAlign w:val="center"/>
                </w:tcPr>
                <w:p>
                  <w:pPr>
                    <w:pStyle w:val="6"/>
                    <w:spacing w:line="360" w:lineRule="exact"/>
                    <w:ind w:firstLine="0"/>
                    <w:jc w:val="center"/>
                    <w:rPr>
                      <w:rFonts w:hint="eastAsia"/>
                      <w:sz w:val="21"/>
                      <w:szCs w:val="21"/>
                    </w:rPr>
                  </w:pPr>
                  <w:r>
                    <w:rPr>
                      <w:rFonts w:hint="eastAsia"/>
                      <w:sz w:val="21"/>
                      <w:szCs w:val="21"/>
                    </w:rPr>
                    <w:t>200</w:t>
                  </w:r>
                </w:p>
              </w:tc>
              <w:tc>
                <w:tcPr>
                  <w:tcW w:w="1121" w:type="dxa"/>
                  <w:vAlign w:val="center"/>
                </w:tcPr>
                <w:p>
                  <w:pPr>
                    <w:pStyle w:val="6"/>
                    <w:spacing w:line="360" w:lineRule="exact"/>
                    <w:ind w:firstLine="0"/>
                    <w:jc w:val="center"/>
                    <w:rPr>
                      <w:rFonts w:hint="eastAsia"/>
                      <w:sz w:val="21"/>
                      <w:szCs w:val="21"/>
                    </w:rPr>
                  </w:pPr>
                  <w:r>
                    <w:rPr>
                      <w:rFonts w:hint="eastAsia"/>
                      <w:sz w:val="21"/>
                      <w:szCs w:val="21"/>
                    </w:rPr>
                    <w:t>30</w:t>
                  </w:r>
                </w:p>
              </w:tc>
              <w:tc>
                <w:tcPr>
                  <w:tcW w:w="734" w:type="dxa"/>
                  <w:vAlign w:val="center"/>
                </w:tcPr>
                <w:p>
                  <w:pPr>
                    <w:pStyle w:val="6"/>
                    <w:spacing w:line="360" w:lineRule="exact"/>
                    <w:ind w:firstLine="0"/>
                    <w:jc w:val="center"/>
                    <w:rPr>
                      <w:rFonts w:hint="eastAsia"/>
                      <w:sz w:val="21"/>
                      <w:szCs w:val="21"/>
                    </w:rPr>
                  </w:pPr>
                  <w:r>
                    <w:rPr>
                      <w:rFonts w:hint="eastAsia"/>
                      <w:sz w:val="21"/>
                      <w:szCs w:val="21"/>
                    </w:rPr>
                    <w:t>--</w:t>
                  </w:r>
                </w:p>
              </w:tc>
              <w:tc>
                <w:tcPr>
                  <w:tcW w:w="856" w:type="dxa"/>
                  <w:vAlign w:val="center"/>
                </w:tcPr>
                <w:p>
                  <w:pPr>
                    <w:pStyle w:val="6"/>
                    <w:spacing w:line="360" w:lineRule="exact"/>
                    <w:ind w:firstLine="0"/>
                    <w:jc w:val="center"/>
                    <w:rPr>
                      <w:rFonts w:hint="eastAsia"/>
                      <w:sz w:val="21"/>
                      <w:szCs w:val="21"/>
                    </w:rPr>
                  </w:pPr>
                  <w:r>
                    <w:rPr>
                      <w:rFonts w:hint="eastAsia"/>
                      <w:sz w:val="21"/>
                      <w:szCs w:val="21"/>
                    </w:rPr>
                    <w:t>1.36</w:t>
                  </w:r>
                </w:p>
              </w:tc>
              <w:tc>
                <w:tcPr>
                  <w:tcW w:w="1050" w:type="dxa"/>
                  <w:vAlign w:val="center"/>
                </w:tcPr>
                <w:p>
                  <w:pPr>
                    <w:pStyle w:val="6"/>
                    <w:spacing w:line="360" w:lineRule="exact"/>
                    <w:ind w:firstLine="0"/>
                    <w:jc w:val="center"/>
                    <w:rPr>
                      <w:rFonts w:hint="eastAsia"/>
                      <w:sz w:val="21"/>
                      <w:szCs w:val="21"/>
                    </w:rPr>
                  </w:pPr>
                  <w:r>
                    <w:rPr>
                      <w:rFonts w:hint="eastAsia"/>
                      <w:sz w:val="21"/>
                      <w:szCs w:val="21"/>
                    </w:rPr>
                    <w:t>0.204</w:t>
                  </w:r>
                </w:p>
              </w:tc>
              <w:tc>
                <w:tcPr>
                  <w:tcW w:w="583" w:type="dxa"/>
                  <w:vAlign w:val="center"/>
                </w:tcPr>
                <w:p>
                  <w:pPr>
                    <w:pStyle w:val="6"/>
                    <w:spacing w:line="360" w:lineRule="exact"/>
                    <w:ind w:firstLine="0"/>
                    <w:jc w:val="center"/>
                    <w:rPr>
                      <w:rFonts w:hint="eastAsia"/>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jc w:val="center"/>
              </w:trPr>
              <w:tc>
                <w:tcPr>
                  <w:tcW w:w="1367" w:type="dxa"/>
                  <w:vAlign w:val="center"/>
                </w:tcPr>
                <w:p>
                  <w:pPr>
                    <w:pStyle w:val="6"/>
                    <w:spacing w:line="360" w:lineRule="exact"/>
                    <w:ind w:firstLine="0"/>
                    <w:jc w:val="center"/>
                    <w:rPr>
                      <w:rFonts w:hint="eastAsia"/>
                      <w:sz w:val="21"/>
                      <w:szCs w:val="21"/>
                    </w:rPr>
                  </w:pPr>
                  <w:r>
                    <w:rPr>
                      <w:rFonts w:hint="eastAsia"/>
                      <w:sz w:val="21"/>
                      <w:szCs w:val="21"/>
                    </w:rPr>
                    <w:t>合计</w:t>
                  </w:r>
                </w:p>
              </w:tc>
              <w:tc>
                <w:tcPr>
                  <w:tcW w:w="1235" w:type="dxa"/>
                  <w:vAlign w:val="center"/>
                </w:tcPr>
                <w:p>
                  <w:pPr>
                    <w:pStyle w:val="6"/>
                    <w:spacing w:line="360" w:lineRule="exact"/>
                    <w:ind w:firstLine="0"/>
                    <w:jc w:val="center"/>
                    <w:rPr>
                      <w:rFonts w:hint="eastAsia"/>
                      <w:sz w:val="21"/>
                      <w:szCs w:val="21"/>
                    </w:rPr>
                  </w:pPr>
                  <w:r>
                    <w:rPr>
                      <w:rFonts w:hint="eastAsia"/>
                      <w:sz w:val="21"/>
                      <w:szCs w:val="21"/>
                    </w:rPr>
                    <w:t>19.00</w:t>
                  </w:r>
                </w:p>
              </w:tc>
              <w:tc>
                <w:tcPr>
                  <w:tcW w:w="1239" w:type="dxa"/>
                  <w:vAlign w:val="center"/>
                </w:tcPr>
                <w:p>
                  <w:pPr>
                    <w:pStyle w:val="6"/>
                    <w:spacing w:line="360" w:lineRule="exact"/>
                    <w:ind w:firstLine="0"/>
                    <w:jc w:val="center"/>
                    <w:rPr>
                      <w:rFonts w:hint="eastAsia"/>
                      <w:sz w:val="21"/>
                      <w:szCs w:val="21"/>
                    </w:rPr>
                  </w:pPr>
                  <w:r>
                    <w:rPr>
                      <w:rFonts w:hint="eastAsia"/>
                      <w:sz w:val="21"/>
                      <w:szCs w:val="21"/>
                    </w:rPr>
                    <w:t>16.15</w:t>
                  </w:r>
                </w:p>
              </w:tc>
              <w:tc>
                <w:tcPr>
                  <w:tcW w:w="911" w:type="dxa"/>
                  <w:vAlign w:val="center"/>
                </w:tcPr>
                <w:p>
                  <w:pPr>
                    <w:pStyle w:val="6"/>
                    <w:spacing w:line="360" w:lineRule="exact"/>
                    <w:ind w:firstLine="0"/>
                    <w:jc w:val="center"/>
                    <w:rPr>
                      <w:rFonts w:hint="eastAsia"/>
                      <w:sz w:val="21"/>
                      <w:szCs w:val="21"/>
                    </w:rPr>
                  </w:pPr>
                  <w:r>
                    <w:rPr>
                      <w:rFonts w:hint="eastAsia"/>
                      <w:sz w:val="21"/>
                      <w:szCs w:val="21"/>
                    </w:rPr>
                    <w:t>--</w:t>
                  </w:r>
                </w:p>
              </w:tc>
              <w:tc>
                <w:tcPr>
                  <w:tcW w:w="1121" w:type="dxa"/>
                  <w:vAlign w:val="center"/>
                </w:tcPr>
                <w:p>
                  <w:pPr>
                    <w:pStyle w:val="6"/>
                    <w:spacing w:line="360" w:lineRule="exact"/>
                    <w:ind w:firstLine="0"/>
                    <w:jc w:val="center"/>
                    <w:rPr>
                      <w:rFonts w:hint="eastAsia"/>
                      <w:sz w:val="21"/>
                      <w:szCs w:val="21"/>
                    </w:rPr>
                  </w:pPr>
                  <w:r>
                    <w:rPr>
                      <w:rFonts w:hint="eastAsia"/>
                      <w:sz w:val="21"/>
                      <w:szCs w:val="21"/>
                    </w:rPr>
                    <w:t>--</w:t>
                  </w:r>
                </w:p>
              </w:tc>
              <w:tc>
                <w:tcPr>
                  <w:tcW w:w="734" w:type="dxa"/>
                  <w:vAlign w:val="center"/>
                </w:tcPr>
                <w:p>
                  <w:pPr>
                    <w:pStyle w:val="6"/>
                    <w:spacing w:line="360" w:lineRule="exact"/>
                    <w:ind w:firstLine="0"/>
                    <w:jc w:val="center"/>
                    <w:rPr>
                      <w:rFonts w:hint="eastAsia"/>
                      <w:sz w:val="21"/>
                      <w:szCs w:val="21"/>
                    </w:rPr>
                  </w:pPr>
                  <w:r>
                    <w:rPr>
                      <w:rFonts w:hint="eastAsia"/>
                      <w:sz w:val="21"/>
                      <w:szCs w:val="21"/>
                    </w:rPr>
                    <w:t>--</w:t>
                  </w:r>
                </w:p>
              </w:tc>
              <w:tc>
                <w:tcPr>
                  <w:tcW w:w="856" w:type="dxa"/>
                  <w:vAlign w:val="center"/>
                </w:tcPr>
                <w:p>
                  <w:pPr>
                    <w:pStyle w:val="6"/>
                    <w:spacing w:line="360" w:lineRule="exact"/>
                    <w:ind w:firstLine="0"/>
                    <w:jc w:val="center"/>
                    <w:rPr>
                      <w:rFonts w:hint="eastAsia"/>
                      <w:sz w:val="21"/>
                      <w:szCs w:val="21"/>
                    </w:rPr>
                  </w:pPr>
                  <w:r>
                    <w:rPr>
                      <w:rFonts w:hint="eastAsia"/>
                      <w:sz w:val="21"/>
                      <w:szCs w:val="21"/>
                    </w:rPr>
                    <w:t>1.36</w:t>
                  </w:r>
                </w:p>
              </w:tc>
              <w:tc>
                <w:tcPr>
                  <w:tcW w:w="1050" w:type="dxa"/>
                  <w:vAlign w:val="center"/>
                </w:tcPr>
                <w:p>
                  <w:pPr>
                    <w:pStyle w:val="6"/>
                    <w:spacing w:line="360" w:lineRule="exact"/>
                    <w:ind w:firstLine="0"/>
                    <w:jc w:val="center"/>
                    <w:rPr>
                      <w:rFonts w:hint="eastAsia"/>
                      <w:sz w:val="21"/>
                      <w:szCs w:val="21"/>
                    </w:rPr>
                  </w:pPr>
                  <w:r>
                    <w:rPr>
                      <w:rFonts w:hint="eastAsia"/>
                      <w:sz w:val="21"/>
                      <w:szCs w:val="21"/>
                    </w:rPr>
                    <w:t>0.204</w:t>
                  </w:r>
                </w:p>
              </w:tc>
              <w:tc>
                <w:tcPr>
                  <w:tcW w:w="583" w:type="dxa"/>
                  <w:vAlign w:val="center"/>
                </w:tcPr>
                <w:p>
                  <w:pPr>
                    <w:pStyle w:val="6"/>
                    <w:spacing w:line="360" w:lineRule="exact"/>
                    <w:ind w:firstLine="0"/>
                    <w:jc w:val="center"/>
                    <w:rPr>
                      <w:rFonts w:hint="eastAsia"/>
                      <w:sz w:val="21"/>
                      <w:szCs w:val="21"/>
                    </w:rPr>
                  </w:pPr>
                  <w:r>
                    <w:rPr>
                      <w:rFonts w:hint="eastAsia"/>
                      <w:sz w:val="21"/>
                      <w:szCs w:val="21"/>
                    </w:rPr>
                    <w:t>--</w:t>
                  </w:r>
                </w:p>
              </w:tc>
            </w:tr>
          </w:tbl>
          <w:p>
            <w:pPr>
              <w:adjustRightInd w:val="0"/>
              <w:snapToGrid w:val="0"/>
              <w:spacing w:line="360" w:lineRule="auto"/>
              <w:ind w:left="2" w:firstLine="478" w:firstLineChars="199"/>
              <w:rPr>
                <w:rFonts w:hint="eastAsia"/>
                <w:sz w:val="24"/>
                <w:szCs w:val="24"/>
              </w:rPr>
            </w:pPr>
            <w:r>
              <w:rPr>
                <w:rFonts w:hint="eastAsia"/>
                <w:sz w:val="24"/>
                <w:szCs w:val="24"/>
              </w:rPr>
              <w:t>对于施工期废水，工程废水经沉淀处理后全部回用，不外排。生活废水采取沉淀池、隔油池、化粪池进行处理，上清液用于农田灌溉，底泥外运，对周围环境影响较小。</w:t>
            </w:r>
          </w:p>
          <w:p>
            <w:pPr>
              <w:adjustRightInd w:val="0"/>
              <w:snapToGrid w:val="0"/>
              <w:spacing w:line="360" w:lineRule="auto"/>
              <w:ind w:left="140" w:leftChars="50" w:right="140" w:rightChars="50" w:firstLine="480" w:firstLineChars="200"/>
              <w:rPr>
                <w:rFonts w:hint="eastAsia"/>
                <w:sz w:val="24"/>
                <w:szCs w:val="24"/>
              </w:rPr>
            </w:pPr>
            <w:r>
              <w:rPr>
                <w:rFonts w:hint="eastAsia"/>
                <w:sz w:val="24"/>
                <w:szCs w:val="24"/>
              </w:rPr>
              <w:t>（4）施工期固体废物</w:t>
            </w:r>
          </w:p>
          <w:p>
            <w:pPr>
              <w:adjustRightInd w:val="0"/>
              <w:snapToGrid w:val="0"/>
              <w:spacing w:line="360" w:lineRule="auto"/>
              <w:ind w:left="2" w:firstLine="478" w:firstLineChars="199"/>
              <w:rPr>
                <w:rFonts w:hint="eastAsia"/>
                <w:sz w:val="24"/>
                <w:szCs w:val="24"/>
              </w:rPr>
            </w:pPr>
            <w:r>
              <w:rPr>
                <w:rFonts w:hint="eastAsia"/>
                <w:sz w:val="24"/>
                <w:szCs w:val="24"/>
              </w:rPr>
              <w:t>工程施工期间固体废弃物主要是施工垃圾及施工人员产生的生活垃圾，生活垃圾每日发生量约0.1t，收集后由环卫部门定期清运；施工垃圾则大部分可以回收利用，用车辆运至指定地点统一安排利用。</w:t>
            </w:r>
          </w:p>
          <w:p>
            <w:pPr>
              <w:spacing w:line="360" w:lineRule="auto"/>
              <w:ind w:firstLine="482" w:firstLineChars="200"/>
              <w:rPr>
                <w:rFonts w:hint="eastAsia"/>
                <w:b/>
                <w:sz w:val="24"/>
              </w:rPr>
            </w:pPr>
            <w:r>
              <w:rPr>
                <w:rFonts w:hint="eastAsia"/>
                <w:b/>
                <w:sz w:val="24"/>
              </w:rPr>
              <w:t>二、运营期</w:t>
            </w:r>
          </w:p>
          <w:p>
            <w:pPr>
              <w:spacing w:line="360" w:lineRule="auto"/>
              <w:ind w:firstLine="480" w:firstLineChars="200"/>
              <w:rPr>
                <w:sz w:val="24"/>
              </w:rPr>
            </w:pPr>
            <w:bookmarkStart w:id="2" w:name="_Toc141089176"/>
            <w:r>
              <w:rPr>
                <w:sz w:val="24"/>
              </w:rPr>
              <w:t>1、大气污染物</w:t>
            </w:r>
            <w:bookmarkEnd w:id="2"/>
          </w:p>
          <w:p>
            <w:pPr>
              <w:spacing w:line="360" w:lineRule="auto"/>
              <w:ind w:firstLine="480" w:firstLineChars="200"/>
              <w:rPr>
                <w:bCs/>
                <w:sz w:val="24"/>
              </w:rPr>
            </w:pPr>
            <w:r>
              <w:rPr>
                <w:bCs/>
                <w:sz w:val="24"/>
              </w:rPr>
              <w:t>项目运营期主要废气为运输车辆扬尘及尾气。</w:t>
            </w:r>
          </w:p>
          <w:p>
            <w:pPr>
              <w:autoSpaceDE w:val="0"/>
              <w:autoSpaceDN w:val="0"/>
              <w:adjustRightInd w:val="0"/>
              <w:spacing w:line="360" w:lineRule="auto"/>
              <w:ind w:firstLine="540" w:firstLineChars="225"/>
              <w:jc w:val="left"/>
              <w:rPr>
                <w:kern w:val="0"/>
                <w:sz w:val="24"/>
              </w:rPr>
            </w:pPr>
            <w:r>
              <w:rPr>
                <w:rFonts w:hint="eastAsia"/>
                <w:bCs/>
                <w:sz w:val="24"/>
              </w:rPr>
              <w:t>本项目为仓储类，不涉及润滑油生产机再分装，项目废气主要为运输车辆汽车尾气，该尾气包括排气管尾气、曲轴箱漏气及油箱和化油器等燃料系统的泄漏气等。项目地面停车位较少，启动时间较短，因此废气产生量小</w:t>
            </w:r>
            <w:r>
              <w:rPr>
                <w:kern w:val="0"/>
                <w:sz w:val="24"/>
              </w:rPr>
              <w:t>。</w:t>
            </w:r>
          </w:p>
          <w:p>
            <w:pPr>
              <w:spacing w:line="360" w:lineRule="auto"/>
              <w:ind w:firstLine="480" w:firstLineChars="200"/>
              <w:rPr>
                <w:sz w:val="24"/>
              </w:rPr>
            </w:pPr>
            <w:bookmarkStart w:id="3" w:name="_Toc141089177"/>
            <w:r>
              <w:rPr>
                <w:sz w:val="24"/>
              </w:rPr>
              <w:t>2、水污染物</w:t>
            </w:r>
            <w:bookmarkEnd w:id="3"/>
          </w:p>
          <w:p>
            <w:pPr>
              <w:spacing w:line="360" w:lineRule="auto"/>
              <w:ind w:firstLine="480" w:firstLineChars="200"/>
              <w:rPr>
                <w:rFonts w:hint="eastAsia"/>
                <w:sz w:val="24"/>
              </w:rPr>
            </w:pPr>
            <w:r>
              <w:rPr>
                <w:rFonts w:hint="eastAsia"/>
                <w:sz w:val="24"/>
              </w:rPr>
              <w:t>项目废水主要包括生活废水。</w:t>
            </w:r>
          </w:p>
          <w:p>
            <w:pPr>
              <w:spacing w:line="360" w:lineRule="auto"/>
              <w:ind w:firstLine="480" w:firstLineChars="200"/>
              <w:rPr>
                <w:rFonts w:hint="eastAsia"/>
                <w:sz w:val="24"/>
              </w:rPr>
            </w:pPr>
            <w:r>
              <w:rPr>
                <w:rFonts w:hint="eastAsia"/>
                <w:sz w:val="24"/>
              </w:rPr>
              <w:t>（1）职工生活污水</w:t>
            </w:r>
          </w:p>
          <w:p>
            <w:pPr>
              <w:spacing w:line="360" w:lineRule="auto"/>
              <w:ind w:firstLine="480" w:firstLineChars="200"/>
              <w:rPr>
                <w:rFonts w:hint="eastAsia"/>
                <w:sz w:val="24"/>
              </w:rPr>
            </w:pPr>
            <w:r>
              <w:rPr>
                <w:rFonts w:hint="eastAsia"/>
                <w:sz w:val="24"/>
              </w:rPr>
              <w:t>建设项目职工定员30人，生活用水按150L/人·d计，则职工生活用水量为1350t/a，产污系数按80%计算，则生活污水产生量为1080t/a，污水中主要污染因子产生浓度为COD 300mg/l、SS 200mg/l、氨氮25mg/l、总磷4mg/l；污染物产生量为COD0.33 t/a、SS0.3 t/a、氨氮0.03 t/a、TP0.0048 t/a，经化粪池处理后接管开发区污水处理厂。</w:t>
            </w:r>
          </w:p>
          <w:p>
            <w:pPr>
              <w:spacing w:line="360" w:lineRule="auto"/>
              <w:rPr>
                <w:rFonts w:hint="eastAsia"/>
                <w:sz w:val="24"/>
              </w:rPr>
            </w:pPr>
            <w:r>
              <w:rPr>
                <w:rFonts w:hint="eastAsia"/>
                <w:sz w:val="24"/>
              </w:rPr>
              <w:t xml:space="preserve">    （2）绿化用水</w:t>
            </w:r>
          </w:p>
          <w:p>
            <w:pPr>
              <w:spacing w:line="360" w:lineRule="auto"/>
              <w:rPr>
                <w:rFonts w:hint="eastAsia"/>
                <w:sz w:val="24"/>
              </w:rPr>
            </w:pPr>
            <w:r>
              <w:rPr>
                <w:rFonts w:hint="eastAsia"/>
                <w:sz w:val="24"/>
              </w:rPr>
              <w:t xml:space="preserve">     建设项目绿化面积为1796m</w:t>
            </w:r>
            <w:r>
              <w:rPr>
                <w:rFonts w:hint="eastAsia"/>
                <w:sz w:val="24"/>
                <w:vertAlign w:val="superscript"/>
              </w:rPr>
              <w:t>2</w:t>
            </w:r>
            <w:r>
              <w:rPr>
                <w:rFonts w:hint="eastAsia"/>
                <w:sz w:val="24"/>
              </w:rPr>
              <w:t>，</w:t>
            </w:r>
            <w:r>
              <w:rPr>
                <w:sz w:val="24"/>
              </w:rPr>
              <w:t>绿地用水按</w:t>
            </w:r>
            <w:r>
              <w:rPr>
                <w:rFonts w:hint="eastAsia"/>
                <w:sz w:val="24"/>
              </w:rPr>
              <w:t>4</w:t>
            </w:r>
            <w:r>
              <w:rPr>
                <w:sz w:val="24"/>
              </w:rPr>
              <w:t>L/m</w:t>
            </w:r>
            <w:r>
              <w:rPr>
                <w:sz w:val="24"/>
                <w:vertAlign w:val="superscript"/>
              </w:rPr>
              <w:t>2</w:t>
            </w:r>
            <w:r>
              <w:rPr>
                <w:sz w:val="24"/>
              </w:rPr>
              <w:t>·</w:t>
            </w:r>
            <w:r>
              <w:rPr>
                <w:rFonts w:hint="eastAsia"/>
                <w:sz w:val="24"/>
              </w:rPr>
              <w:t>次，一年用水35次</w:t>
            </w:r>
            <w:r>
              <w:rPr>
                <w:sz w:val="24"/>
              </w:rPr>
              <w:t>计</w:t>
            </w:r>
            <w:r>
              <w:rPr>
                <w:rFonts w:hint="eastAsia"/>
                <w:sz w:val="24"/>
              </w:rPr>
              <w:t>，则总用水量为251m</w:t>
            </w:r>
            <w:r>
              <w:rPr>
                <w:rFonts w:hint="eastAsia"/>
                <w:sz w:val="24"/>
                <w:vertAlign w:val="superscript"/>
              </w:rPr>
              <w:t>3</w:t>
            </w:r>
            <w:r>
              <w:rPr>
                <w:rFonts w:hint="eastAsia"/>
                <w:sz w:val="24"/>
              </w:rPr>
              <w:t>/a</w:t>
            </w:r>
          </w:p>
          <w:p>
            <w:pPr>
              <w:spacing w:line="440" w:lineRule="exact"/>
              <w:ind w:firstLine="480" w:firstLineChars="200"/>
              <w:rPr>
                <w:rFonts w:hint="eastAsia"/>
                <w:sz w:val="24"/>
              </w:rPr>
            </w:pPr>
            <w:r>
              <w:rPr>
                <w:rFonts w:hint="eastAsia"/>
                <w:sz w:val="24"/>
              </w:rPr>
              <w:t>项目水平衡见下图2。</w:t>
            </w:r>
          </w:p>
          <w:p>
            <w:pPr>
              <w:spacing w:line="440" w:lineRule="exact"/>
              <w:ind w:firstLine="480" w:firstLineChars="200"/>
              <w:rPr>
                <w:rFonts w:hint="eastAsia"/>
                <w:sz w:val="24"/>
              </w:rPr>
            </w:pPr>
          </w:p>
          <w:p>
            <w:pPr>
              <w:spacing w:line="440" w:lineRule="exact"/>
              <w:ind w:firstLine="480" w:firstLineChars="200"/>
              <w:rPr>
                <w:rFonts w:hint="eastAsia"/>
                <w:sz w:val="24"/>
              </w:rPr>
            </w:pPr>
            <w:r>
              <w:rPr>
                <w:rFonts w:hint="eastAsia"/>
                <w:sz w:val="24"/>
              </w:rPr>
              <w:pict>
                <v:shape id="Picture 3" o:spid="_x0000_s1027" o:spt="75" type="#_x0000_t75" style="position:absolute;left:0pt;margin-left:14.2pt;margin-top:290.8pt;height:229.8pt;width:448.05pt;mso-position-horizontal-relative:page;mso-position-vertical-relative:page;mso-wrap-distance-bottom:0pt;mso-wrap-distance-top:0pt;z-index:251659264;mso-width-relative:page;mso-height-relative:page;" o:ole="t" filled="f" o:preferrelative="t" stroked="f" coordsize="21600,21600">
                  <v:path/>
                  <v:fill on="f" focussize="0,0"/>
                  <v:stroke on="f" joinstyle="miter"/>
                  <v:imagedata r:id="rId16" o:title=""/>
                  <o:lock v:ext="edit" aspectratio="f"/>
                  <w10:wrap type="topAndBottom"/>
                </v:shape>
                <o:OLEObject Type="Embed" ProgID="Visio.Drawing.11" ShapeID="Picture 3" DrawAspect="Content" ObjectID="_1468075725" r:id="rId15"/>
              </w:pict>
            </w:r>
            <w:r>
              <w:rPr>
                <w:rFonts w:hint="eastAsia"/>
                <w:sz w:val="24"/>
              </w:rPr>
              <w:t xml:space="preserve">                图2  建设项目水平衡图（t/a）</w:t>
            </w:r>
          </w:p>
          <w:p>
            <w:pPr>
              <w:spacing w:line="360" w:lineRule="auto"/>
              <w:ind w:firstLine="480" w:firstLineChars="200"/>
              <w:rPr>
                <w:rFonts w:hint="eastAsia"/>
                <w:sz w:val="24"/>
              </w:rPr>
            </w:pPr>
            <w:r>
              <w:rPr>
                <w:rFonts w:hint="eastAsia"/>
                <w:sz w:val="24"/>
              </w:rPr>
              <w:t>项目废水产生及排放情况具体见表29。</w:t>
            </w: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napToGrid w:val="0"/>
              <w:jc w:val="center"/>
              <w:outlineLvl w:val="0"/>
              <w:rPr>
                <w:sz w:val="24"/>
                <w:szCs w:val="24"/>
              </w:rPr>
            </w:pPr>
            <w:r>
              <w:rPr>
                <w:sz w:val="24"/>
                <w:szCs w:val="24"/>
              </w:rPr>
              <w:t>表</w:t>
            </w:r>
            <w:r>
              <w:rPr>
                <w:rFonts w:hint="eastAsia"/>
                <w:sz w:val="24"/>
                <w:szCs w:val="24"/>
              </w:rPr>
              <w:t xml:space="preserve">29 </w:t>
            </w:r>
            <w:r>
              <w:rPr>
                <w:sz w:val="24"/>
                <w:szCs w:val="24"/>
              </w:rPr>
              <w:t>污水排放情况“三本帐”核算表</w:t>
            </w:r>
          </w:p>
          <w:tbl>
            <w:tblPr>
              <w:tblStyle w:val="34"/>
              <w:tblW w:w="9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9"/>
              <w:gridCol w:w="683"/>
              <w:gridCol w:w="721"/>
              <w:gridCol w:w="797"/>
              <w:gridCol w:w="853"/>
              <w:gridCol w:w="855"/>
              <w:gridCol w:w="675"/>
              <w:gridCol w:w="1170"/>
              <w:gridCol w:w="675"/>
              <w:gridCol w:w="1170"/>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00" w:hRule="atLeast"/>
                <w:jc w:val="center"/>
              </w:trPr>
              <w:tc>
                <w:tcPr>
                  <w:tcW w:w="669" w:type="dxa"/>
                  <w:vAlign w:val="center"/>
                </w:tcPr>
                <w:p>
                  <w:pPr>
                    <w:jc w:val="center"/>
                    <w:rPr>
                      <w:kern w:val="0"/>
                      <w:sz w:val="21"/>
                      <w:szCs w:val="21"/>
                    </w:rPr>
                  </w:pPr>
                  <w:bookmarkStart w:id="4" w:name="OLE_LINK1"/>
                  <w:r>
                    <w:rPr>
                      <w:rFonts w:hAnsi="宋体"/>
                      <w:kern w:val="0"/>
                      <w:sz w:val="21"/>
                      <w:szCs w:val="21"/>
                    </w:rPr>
                    <w:t>污水种类</w:t>
                  </w:r>
                </w:p>
              </w:tc>
              <w:tc>
                <w:tcPr>
                  <w:tcW w:w="683" w:type="dxa"/>
                  <w:vAlign w:val="center"/>
                </w:tcPr>
                <w:p>
                  <w:pPr>
                    <w:widowControl/>
                    <w:jc w:val="center"/>
                    <w:rPr>
                      <w:kern w:val="0"/>
                      <w:sz w:val="21"/>
                      <w:szCs w:val="21"/>
                    </w:rPr>
                  </w:pPr>
                  <w:r>
                    <w:rPr>
                      <w:rFonts w:hAnsi="宋体"/>
                      <w:kern w:val="0"/>
                      <w:sz w:val="21"/>
                      <w:szCs w:val="21"/>
                    </w:rPr>
                    <w:t>污水量</w:t>
                  </w:r>
                  <w:r>
                    <w:rPr>
                      <w:kern w:val="0"/>
                      <w:sz w:val="21"/>
                      <w:szCs w:val="21"/>
                    </w:rPr>
                    <w:t>(t/a)</w:t>
                  </w:r>
                </w:p>
              </w:tc>
              <w:tc>
                <w:tcPr>
                  <w:tcW w:w="721" w:type="dxa"/>
                  <w:vAlign w:val="center"/>
                </w:tcPr>
                <w:p>
                  <w:pPr>
                    <w:widowControl/>
                    <w:jc w:val="center"/>
                    <w:rPr>
                      <w:kern w:val="0"/>
                      <w:sz w:val="21"/>
                      <w:szCs w:val="21"/>
                    </w:rPr>
                  </w:pPr>
                  <w:r>
                    <w:rPr>
                      <w:rFonts w:hAnsi="宋体"/>
                      <w:kern w:val="0"/>
                      <w:sz w:val="21"/>
                      <w:szCs w:val="21"/>
                    </w:rPr>
                    <w:t>污染物</w:t>
                  </w:r>
                </w:p>
                <w:p>
                  <w:pPr>
                    <w:jc w:val="center"/>
                    <w:rPr>
                      <w:kern w:val="0"/>
                      <w:sz w:val="21"/>
                      <w:szCs w:val="21"/>
                    </w:rPr>
                  </w:pPr>
                  <w:r>
                    <w:rPr>
                      <w:rFonts w:hAnsi="宋体"/>
                      <w:kern w:val="0"/>
                      <w:sz w:val="21"/>
                      <w:szCs w:val="21"/>
                    </w:rPr>
                    <w:t>指标</w:t>
                  </w:r>
                </w:p>
              </w:tc>
              <w:tc>
                <w:tcPr>
                  <w:tcW w:w="797" w:type="dxa"/>
                  <w:vAlign w:val="center"/>
                </w:tcPr>
                <w:p>
                  <w:pPr>
                    <w:widowControl/>
                    <w:jc w:val="center"/>
                    <w:rPr>
                      <w:kern w:val="0"/>
                      <w:sz w:val="21"/>
                      <w:szCs w:val="21"/>
                    </w:rPr>
                  </w:pPr>
                  <w:r>
                    <w:rPr>
                      <w:rFonts w:hAnsi="宋体"/>
                      <w:kern w:val="0"/>
                      <w:sz w:val="21"/>
                      <w:szCs w:val="21"/>
                    </w:rPr>
                    <w:t>发生浓度</w:t>
                  </w:r>
                </w:p>
                <w:p>
                  <w:pPr>
                    <w:jc w:val="center"/>
                    <w:rPr>
                      <w:kern w:val="0"/>
                      <w:sz w:val="21"/>
                      <w:szCs w:val="21"/>
                    </w:rPr>
                  </w:pPr>
                  <w:r>
                    <w:rPr>
                      <w:rFonts w:hAnsi="宋体"/>
                      <w:kern w:val="0"/>
                      <w:sz w:val="21"/>
                      <w:szCs w:val="21"/>
                    </w:rPr>
                    <w:t>（</w:t>
                  </w:r>
                  <w:r>
                    <w:rPr>
                      <w:kern w:val="0"/>
                      <w:sz w:val="21"/>
                      <w:szCs w:val="21"/>
                    </w:rPr>
                    <w:t>mg/L</w:t>
                  </w:r>
                  <w:r>
                    <w:rPr>
                      <w:rFonts w:hAnsi="宋体"/>
                      <w:kern w:val="0"/>
                      <w:sz w:val="21"/>
                      <w:szCs w:val="21"/>
                    </w:rPr>
                    <w:t>）</w:t>
                  </w:r>
                </w:p>
              </w:tc>
              <w:tc>
                <w:tcPr>
                  <w:tcW w:w="853" w:type="dxa"/>
                  <w:vAlign w:val="center"/>
                </w:tcPr>
                <w:p>
                  <w:pPr>
                    <w:widowControl/>
                    <w:jc w:val="center"/>
                    <w:rPr>
                      <w:kern w:val="0"/>
                      <w:sz w:val="21"/>
                      <w:szCs w:val="21"/>
                    </w:rPr>
                  </w:pPr>
                  <w:r>
                    <w:rPr>
                      <w:rFonts w:hAnsi="宋体"/>
                      <w:kern w:val="0"/>
                      <w:sz w:val="21"/>
                      <w:szCs w:val="21"/>
                    </w:rPr>
                    <w:t>发生量（</w:t>
                  </w:r>
                  <w:r>
                    <w:rPr>
                      <w:kern w:val="0"/>
                      <w:sz w:val="21"/>
                      <w:szCs w:val="21"/>
                    </w:rPr>
                    <w:t>t/a</w:t>
                  </w:r>
                  <w:r>
                    <w:rPr>
                      <w:rFonts w:hAnsi="宋体"/>
                      <w:kern w:val="0"/>
                      <w:sz w:val="21"/>
                      <w:szCs w:val="21"/>
                    </w:rPr>
                    <w:t>）</w:t>
                  </w:r>
                </w:p>
              </w:tc>
              <w:tc>
                <w:tcPr>
                  <w:tcW w:w="855" w:type="dxa"/>
                  <w:vAlign w:val="center"/>
                </w:tcPr>
                <w:p>
                  <w:pPr>
                    <w:widowControl/>
                    <w:jc w:val="center"/>
                    <w:rPr>
                      <w:kern w:val="0"/>
                      <w:sz w:val="21"/>
                      <w:szCs w:val="21"/>
                    </w:rPr>
                  </w:pPr>
                  <w:r>
                    <w:rPr>
                      <w:rFonts w:hAnsi="宋体"/>
                      <w:kern w:val="0"/>
                      <w:sz w:val="21"/>
                      <w:szCs w:val="21"/>
                    </w:rPr>
                    <w:t>治理</w:t>
                  </w:r>
                </w:p>
                <w:p>
                  <w:pPr>
                    <w:widowControl/>
                    <w:jc w:val="center"/>
                    <w:rPr>
                      <w:kern w:val="0"/>
                      <w:sz w:val="21"/>
                      <w:szCs w:val="21"/>
                    </w:rPr>
                  </w:pPr>
                  <w:r>
                    <w:rPr>
                      <w:rFonts w:hAnsi="宋体"/>
                      <w:kern w:val="0"/>
                      <w:sz w:val="21"/>
                      <w:szCs w:val="21"/>
                    </w:rPr>
                    <w:t>措施</w:t>
                  </w:r>
                </w:p>
              </w:tc>
              <w:tc>
                <w:tcPr>
                  <w:tcW w:w="675" w:type="dxa"/>
                  <w:vAlign w:val="center"/>
                </w:tcPr>
                <w:p>
                  <w:pPr>
                    <w:widowControl/>
                    <w:jc w:val="center"/>
                    <w:rPr>
                      <w:kern w:val="0"/>
                      <w:sz w:val="21"/>
                      <w:szCs w:val="21"/>
                    </w:rPr>
                  </w:pPr>
                  <w:r>
                    <w:rPr>
                      <w:rFonts w:hAnsi="宋体"/>
                      <w:kern w:val="0"/>
                      <w:sz w:val="21"/>
                      <w:szCs w:val="21"/>
                    </w:rPr>
                    <w:t>削减量</w:t>
                  </w:r>
                </w:p>
                <w:p>
                  <w:pPr>
                    <w:jc w:val="center"/>
                    <w:rPr>
                      <w:kern w:val="0"/>
                      <w:sz w:val="21"/>
                      <w:szCs w:val="21"/>
                    </w:rPr>
                  </w:pPr>
                  <w:r>
                    <w:rPr>
                      <w:rFonts w:hAnsi="宋体"/>
                      <w:kern w:val="0"/>
                      <w:sz w:val="21"/>
                      <w:szCs w:val="21"/>
                    </w:rPr>
                    <w:t>（</w:t>
                  </w:r>
                  <w:r>
                    <w:rPr>
                      <w:kern w:val="0"/>
                      <w:sz w:val="21"/>
                      <w:szCs w:val="21"/>
                    </w:rPr>
                    <w:t>t/a</w:t>
                  </w:r>
                  <w:r>
                    <w:rPr>
                      <w:rFonts w:hAnsi="宋体"/>
                      <w:kern w:val="0"/>
                      <w:sz w:val="21"/>
                      <w:szCs w:val="21"/>
                    </w:rPr>
                    <w:t>）</w:t>
                  </w:r>
                </w:p>
              </w:tc>
              <w:tc>
                <w:tcPr>
                  <w:tcW w:w="1170" w:type="dxa"/>
                  <w:vAlign w:val="center"/>
                </w:tcPr>
                <w:p>
                  <w:pPr>
                    <w:widowControl/>
                    <w:jc w:val="center"/>
                    <w:rPr>
                      <w:kern w:val="0"/>
                      <w:sz w:val="21"/>
                      <w:szCs w:val="21"/>
                    </w:rPr>
                  </w:pPr>
                  <w:r>
                    <w:rPr>
                      <w:rFonts w:hAnsi="宋体"/>
                      <w:kern w:val="0"/>
                      <w:sz w:val="21"/>
                      <w:szCs w:val="21"/>
                    </w:rPr>
                    <w:t>排放浓度（</w:t>
                  </w:r>
                  <w:r>
                    <w:rPr>
                      <w:kern w:val="0"/>
                      <w:sz w:val="21"/>
                      <w:szCs w:val="21"/>
                    </w:rPr>
                    <w:t>mg/L</w:t>
                  </w:r>
                  <w:r>
                    <w:rPr>
                      <w:rFonts w:hAnsi="宋体"/>
                      <w:kern w:val="0"/>
                      <w:sz w:val="21"/>
                      <w:szCs w:val="21"/>
                    </w:rPr>
                    <w:t>）</w:t>
                  </w:r>
                </w:p>
              </w:tc>
              <w:tc>
                <w:tcPr>
                  <w:tcW w:w="675" w:type="dxa"/>
                  <w:vAlign w:val="center"/>
                </w:tcPr>
                <w:p>
                  <w:pPr>
                    <w:widowControl/>
                    <w:jc w:val="center"/>
                    <w:rPr>
                      <w:kern w:val="0"/>
                      <w:sz w:val="21"/>
                      <w:szCs w:val="21"/>
                    </w:rPr>
                  </w:pPr>
                  <w:r>
                    <w:rPr>
                      <w:rFonts w:hAnsi="宋体"/>
                      <w:kern w:val="0"/>
                      <w:sz w:val="21"/>
                      <w:szCs w:val="21"/>
                    </w:rPr>
                    <w:t>排放量</w:t>
                  </w:r>
                </w:p>
                <w:p>
                  <w:pPr>
                    <w:jc w:val="center"/>
                    <w:rPr>
                      <w:kern w:val="0"/>
                      <w:sz w:val="21"/>
                      <w:szCs w:val="21"/>
                    </w:rPr>
                  </w:pPr>
                  <w:r>
                    <w:rPr>
                      <w:rFonts w:hAnsi="宋体"/>
                      <w:kern w:val="0"/>
                      <w:sz w:val="21"/>
                      <w:szCs w:val="21"/>
                    </w:rPr>
                    <w:t>（</w:t>
                  </w:r>
                  <w:r>
                    <w:rPr>
                      <w:kern w:val="0"/>
                      <w:sz w:val="21"/>
                      <w:szCs w:val="21"/>
                    </w:rPr>
                    <w:t>t/a</w:t>
                  </w:r>
                  <w:r>
                    <w:rPr>
                      <w:rFonts w:hAnsi="宋体"/>
                      <w:kern w:val="0"/>
                      <w:sz w:val="21"/>
                      <w:szCs w:val="21"/>
                    </w:rPr>
                    <w:t>）</w:t>
                  </w:r>
                </w:p>
              </w:tc>
              <w:tc>
                <w:tcPr>
                  <w:tcW w:w="1170" w:type="dxa"/>
                  <w:vAlign w:val="center"/>
                </w:tcPr>
                <w:p>
                  <w:pPr>
                    <w:widowControl/>
                    <w:jc w:val="center"/>
                    <w:rPr>
                      <w:kern w:val="0"/>
                      <w:sz w:val="21"/>
                      <w:szCs w:val="21"/>
                    </w:rPr>
                  </w:pPr>
                  <w:r>
                    <w:rPr>
                      <w:rFonts w:hAnsi="宋体"/>
                      <w:kern w:val="0"/>
                      <w:sz w:val="21"/>
                      <w:szCs w:val="21"/>
                    </w:rPr>
                    <w:t>执行标准（</w:t>
                  </w:r>
                  <w:r>
                    <w:rPr>
                      <w:kern w:val="0"/>
                      <w:sz w:val="21"/>
                      <w:szCs w:val="21"/>
                    </w:rPr>
                    <w:t>mg/L</w:t>
                  </w:r>
                  <w:r>
                    <w:rPr>
                      <w:rFonts w:hAnsi="宋体"/>
                      <w:kern w:val="0"/>
                      <w:sz w:val="21"/>
                      <w:szCs w:val="21"/>
                    </w:rPr>
                    <w:t>）</w:t>
                  </w:r>
                </w:p>
              </w:tc>
              <w:tc>
                <w:tcPr>
                  <w:tcW w:w="828" w:type="dxa"/>
                  <w:vAlign w:val="center"/>
                </w:tcPr>
                <w:p>
                  <w:pPr>
                    <w:widowControl/>
                    <w:jc w:val="center"/>
                    <w:rPr>
                      <w:kern w:val="0"/>
                      <w:sz w:val="21"/>
                      <w:szCs w:val="21"/>
                    </w:rPr>
                  </w:pPr>
                  <w:r>
                    <w:rPr>
                      <w:rFonts w:hAnsi="宋体"/>
                      <w:kern w:val="0"/>
                      <w:sz w:val="21"/>
                      <w:szCs w:val="21"/>
                    </w:rPr>
                    <w:t>排放方式与去向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4" w:hRule="atLeast"/>
                <w:jc w:val="center"/>
              </w:trPr>
              <w:tc>
                <w:tcPr>
                  <w:tcW w:w="669" w:type="dxa"/>
                  <w:vMerge w:val="restart"/>
                  <w:vAlign w:val="center"/>
                </w:tcPr>
                <w:p>
                  <w:pPr>
                    <w:jc w:val="center"/>
                    <w:rPr>
                      <w:rFonts w:hint="eastAsia"/>
                      <w:kern w:val="0"/>
                      <w:sz w:val="21"/>
                      <w:szCs w:val="21"/>
                    </w:rPr>
                  </w:pPr>
                  <w:r>
                    <w:rPr>
                      <w:rFonts w:hint="eastAsia"/>
                      <w:kern w:val="0"/>
                      <w:sz w:val="21"/>
                      <w:szCs w:val="21"/>
                    </w:rPr>
                    <w:t>生活污水</w:t>
                  </w:r>
                </w:p>
              </w:tc>
              <w:tc>
                <w:tcPr>
                  <w:tcW w:w="683" w:type="dxa"/>
                  <w:vMerge w:val="restart"/>
                  <w:vAlign w:val="center"/>
                </w:tcPr>
                <w:p>
                  <w:pPr>
                    <w:widowControl/>
                    <w:jc w:val="center"/>
                    <w:rPr>
                      <w:rFonts w:hint="eastAsia"/>
                      <w:kern w:val="0"/>
                      <w:sz w:val="21"/>
                      <w:szCs w:val="21"/>
                    </w:rPr>
                  </w:pPr>
                  <w:r>
                    <w:rPr>
                      <w:rFonts w:hint="eastAsia"/>
                      <w:sz w:val="21"/>
                      <w:szCs w:val="21"/>
                    </w:rPr>
                    <w:t>1080</w:t>
                  </w:r>
                </w:p>
              </w:tc>
              <w:tc>
                <w:tcPr>
                  <w:tcW w:w="721" w:type="dxa"/>
                  <w:vAlign w:val="center"/>
                </w:tcPr>
                <w:p>
                  <w:pPr>
                    <w:jc w:val="center"/>
                    <w:rPr>
                      <w:sz w:val="21"/>
                      <w:szCs w:val="21"/>
                    </w:rPr>
                  </w:pPr>
                  <w:r>
                    <w:rPr>
                      <w:sz w:val="21"/>
                      <w:szCs w:val="21"/>
                    </w:rPr>
                    <w:t>COD</w:t>
                  </w:r>
                </w:p>
              </w:tc>
              <w:tc>
                <w:tcPr>
                  <w:tcW w:w="797" w:type="dxa"/>
                  <w:vAlign w:val="center"/>
                </w:tcPr>
                <w:p>
                  <w:pPr>
                    <w:jc w:val="center"/>
                    <w:rPr>
                      <w:rFonts w:hint="eastAsia"/>
                      <w:sz w:val="21"/>
                      <w:szCs w:val="21"/>
                    </w:rPr>
                  </w:pPr>
                  <w:r>
                    <w:rPr>
                      <w:rFonts w:hint="eastAsia"/>
                      <w:sz w:val="21"/>
                      <w:szCs w:val="21"/>
                    </w:rPr>
                    <w:t>300</w:t>
                  </w:r>
                </w:p>
              </w:tc>
              <w:tc>
                <w:tcPr>
                  <w:tcW w:w="853" w:type="dxa"/>
                  <w:vAlign w:val="center"/>
                </w:tcPr>
                <w:p>
                  <w:pPr>
                    <w:jc w:val="center"/>
                    <w:rPr>
                      <w:rFonts w:hint="eastAsia"/>
                      <w:sz w:val="21"/>
                      <w:szCs w:val="21"/>
                    </w:rPr>
                  </w:pPr>
                  <w:r>
                    <w:rPr>
                      <w:rFonts w:hint="eastAsia"/>
                      <w:sz w:val="21"/>
                      <w:szCs w:val="21"/>
                    </w:rPr>
                    <w:t>0.33</w:t>
                  </w:r>
                </w:p>
              </w:tc>
              <w:tc>
                <w:tcPr>
                  <w:tcW w:w="855" w:type="dxa"/>
                  <w:vMerge w:val="restart"/>
                  <w:vAlign w:val="center"/>
                </w:tcPr>
                <w:p>
                  <w:pPr>
                    <w:widowControl/>
                    <w:jc w:val="center"/>
                    <w:rPr>
                      <w:rFonts w:hint="eastAsia"/>
                      <w:kern w:val="0"/>
                      <w:sz w:val="21"/>
                      <w:szCs w:val="21"/>
                    </w:rPr>
                  </w:pPr>
                  <w:r>
                    <w:rPr>
                      <w:rFonts w:hint="eastAsia"/>
                      <w:kern w:val="0"/>
                      <w:sz w:val="21"/>
                      <w:szCs w:val="21"/>
                    </w:rPr>
                    <w:t>化粪池</w:t>
                  </w:r>
                </w:p>
              </w:tc>
              <w:tc>
                <w:tcPr>
                  <w:tcW w:w="675" w:type="dxa"/>
                  <w:vAlign w:val="center"/>
                </w:tcPr>
                <w:p>
                  <w:pPr>
                    <w:jc w:val="center"/>
                    <w:rPr>
                      <w:sz w:val="21"/>
                      <w:szCs w:val="21"/>
                    </w:rPr>
                  </w:pPr>
                  <w:r>
                    <w:rPr>
                      <w:rFonts w:hint="eastAsia"/>
                      <w:sz w:val="21"/>
                      <w:szCs w:val="21"/>
                    </w:rPr>
                    <w:t>0</w:t>
                  </w:r>
                </w:p>
              </w:tc>
              <w:tc>
                <w:tcPr>
                  <w:tcW w:w="1170" w:type="dxa"/>
                  <w:vAlign w:val="center"/>
                </w:tcPr>
                <w:p>
                  <w:pPr>
                    <w:jc w:val="center"/>
                    <w:rPr>
                      <w:rFonts w:hint="eastAsia"/>
                      <w:sz w:val="21"/>
                      <w:szCs w:val="21"/>
                    </w:rPr>
                  </w:pPr>
                  <w:r>
                    <w:rPr>
                      <w:rFonts w:hint="eastAsia"/>
                      <w:sz w:val="21"/>
                      <w:szCs w:val="21"/>
                    </w:rPr>
                    <w:t>300</w:t>
                  </w:r>
                </w:p>
              </w:tc>
              <w:tc>
                <w:tcPr>
                  <w:tcW w:w="675" w:type="dxa"/>
                  <w:vAlign w:val="center"/>
                </w:tcPr>
                <w:p>
                  <w:pPr>
                    <w:jc w:val="center"/>
                    <w:rPr>
                      <w:rFonts w:hint="eastAsia"/>
                      <w:sz w:val="21"/>
                      <w:szCs w:val="21"/>
                    </w:rPr>
                  </w:pPr>
                  <w:r>
                    <w:rPr>
                      <w:rFonts w:hint="eastAsia"/>
                      <w:sz w:val="21"/>
                      <w:szCs w:val="21"/>
                    </w:rPr>
                    <w:t>0.33</w:t>
                  </w:r>
                </w:p>
              </w:tc>
              <w:tc>
                <w:tcPr>
                  <w:tcW w:w="1170" w:type="dxa"/>
                  <w:vAlign w:val="center"/>
                </w:tcPr>
                <w:p>
                  <w:pPr>
                    <w:widowControl/>
                    <w:jc w:val="center"/>
                    <w:rPr>
                      <w:rFonts w:hint="eastAsia"/>
                      <w:kern w:val="0"/>
                      <w:sz w:val="21"/>
                      <w:szCs w:val="21"/>
                    </w:rPr>
                  </w:pPr>
                  <w:r>
                    <w:rPr>
                      <w:rFonts w:hint="eastAsia"/>
                      <w:kern w:val="0"/>
                      <w:sz w:val="21"/>
                      <w:szCs w:val="21"/>
                    </w:rPr>
                    <w:t>500</w:t>
                  </w:r>
                </w:p>
              </w:tc>
              <w:tc>
                <w:tcPr>
                  <w:tcW w:w="828" w:type="dxa"/>
                  <w:vMerge w:val="restart"/>
                  <w:vAlign w:val="center"/>
                </w:tcPr>
                <w:p>
                  <w:pPr>
                    <w:widowControl/>
                    <w:jc w:val="center"/>
                    <w:rPr>
                      <w:kern w:val="0"/>
                      <w:sz w:val="21"/>
                      <w:szCs w:val="21"/>
                    </w:rPr>
                  </w:pPr>
                  <w:r>
                    <w:rPr>
                      <w:rFonts w:hAnsi="宋体"/>
                      <w:sz w:val="21"/>
                      <w:szCs w:val="21"/>
                    </w:rPr>
                    <w:t>接管</w:t>
                  </w:r>
                  <w:r>
                    <w:rPr>
                      <w:rFonts w:hint="eastAsia" w:hAnsi="宋体"/>
                      <w:sz w:val="21"/>
                      <w:szCs w:val="21"/>
                    </w:rPr>
                    <w:t>开发区污水处理厂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4" w:hRule="atLeast"/>
                <w:jc w:val="center"/>
              </w:trPr>
              <w:tc>
                <w:tcPr>
                  <w:tcW w:w="669" w:type="dxa"/>
                  <w:vMerge w:val="continue"/>
                  <w:vAlign w:val="center"/>
                </w:tcPr>
                <w:p>
                  <w:pPr>
                    <w:widowControl/>
                    <w:jc w:val="center"/>
                    <w:rPr>
                      <w:kern w:val="0"/>
                      <w:sz w:val="21"/>
                      <w:szCs w:val="21"/>
                    </w:rPr>
                  </w:pPr>
                </w:p>
              </w:tc>
              <w:tc>
                <w:tcPr>
                  <w:tcW w:w="683" w:type="dxa"/>
                  <w:vMerge w:val="continue"/>
                  <w:vAlign w:val="center"/>
                </w:tcPr>
                <w:p>
                  <w:pPr>
                    <w:widowControl/>
                    <w:jc w:val="center"/>
                    <w:rPr>
                      <w:kern w:val="0"/>
                      <w:sz w:val="21"/>
                      <w:szCs w:val="21"/>
                    </w:rPr>
                  </w:pPr>
                </w:p>
              </w:tc>
              <w:tc>
                <w:tcPr>
                  <w:tcW w:w="721" w:type="dxa"/>
                  <w:vAlign w:val="center"/>
                </w:tcPr>
                <w:p>
                  <w:pPr>
                    <w:jc w:val="center"/>
                    <w:rPr>
                      <w:sz w:val="21"/>
                      <w:szCs w:val="21"/>
                    </w:rPr>
                  </w:pPr>
                  <w:r>
                    <w:rPr>
                      <w:sz w:val="21"/>
                      <w:szCs w:val="21"/>
                    </w:rPr>
                    <w:t>SS</w:t>
                  </w:r>
                </w:p>
              </w:tc>
              <w:tc>
                <w:tcPr>
                  <w:tcW w:w="797" w:type="dxa"/>
                  <w:vAlign w:val="center"/>
                </w:tcPr>
                <w:p>
                  <w:pPr>
                    <w:jc w:val="center"/>
                    <w:rPr>
                      <w:rFonts w:hint="eastAsia"/>
                      <w:sz w:val="21"/>
                      <w:szCs w:val="21"/>
                    </w:rPr>
                  </w:pPr>
                  <w:r>
                    <w:rPr>
                      <w:rFonts w:hint="eastAsia"/>
                      <w:sz w:val="21"/>
                      <w:szCs w:val="21"/>
                    </w:rPr>
                    <w:t>200</w:t>
                  </w:r>
                </w:p>
              </w:tc>
              <w:tc>
                <w:tcPr>
                  <w:tcW w:w="853" w:type="dxa"/>
                  <w:vAlign w:val="center"/>
                </w:tcPr>
                <w:p>
                  <w:pPr>
                    <w:jc w:val="center"/>
                    <w:rPr>
                      <w:rFonts w:hint="eastAsia"/>
                      <w:sz w:val="21"/>
                      <w:szCs w:val="21"/>
                    </w:rPr>
                  </w:pPr>
                  <w:r>
                    <w:rPr>
                      <w:rFonts w:hint="eastAsia"/>
                      <w:sz w:val="21"/>
                      <w:szCs w:val="21"/>
                    </w:rPr>
                    <w:t>0.3</w:t>
                  </w:r>
                </w:p>
              </w:tc>
              <w:tc>
                <w:tcPr>
                  <w:tcW w:w="855" w:type="dxa"/>
                  <w:vMerge w:val="continue"/>
                  <w:vAlign w:val="center"/>
                </w:tcPr>
                <w:p>
                  <w:pPr>
                    <w:widowControl/>
                    <w:jc w:val="center"/>
                    <w:rPr>
                      <w:kern w:val="0"/>
                      <w:sz w:val="21"/>
                      <w:szCs w:val="21"/>
                    </w:rPr>
                  </w:pPr>
                </w:p>
              </w:tc>
              <w:tc>
                <w:tcPr>
                  <w:tcW w:w="675" w:type="dxa"/>
                  <w:vAlign w:val="center"/>
                </w:tcPr>
                <w:p>
                  <w:pPr>
                    <w:jc w:val="center"/>
                    <w:rPr>
                      <w:sz w:val="21"/>
                      <w:szCs w:val="21"/>
                    </w:rPr>
                  </w:pPr>
                  <w:r>
                    <w:rPr>
                      <w:rFonts w:hint="eastAsia"/>
                      <w:sz w:val="21"/>
                      <w:szCs w:val="21"/>
                    </w:rPr>
                    <w:t>0</w:t>
                  </w:r>
                </w:p>
              </w:tc>
              <w:tc>
                <w:tcPr>
                  <w:tcW w:w="1170" w:type="dxa"/>
                  <w:vAlign w:val="center"/>
                </w:tcPr>
                <w:p>
                  <w:pPr>
                    <w:jc w:val="center"/>
                    <w:rPr>
                      <w:rFonts w:hint="eastAsia"/>
                      <w:sz w:val="21"/>
                      <w:szCs w:val="21"/>
                    </w:rPr>
                  </w:pPr>
                  <w:r>
                    <w:rPr>
                      <w:rFonts w:hint="eastAsia"/>
                      <w:sz w:val="21"/>
                      <w:szCs w:val="21"/>
                    </w:rPr>
                    <w:t>200</w:t>
                  </w:r>
                </w:p>
              </w:tc>
              <w:tc>
                <w:tcPr>
                  <w:tcW w:w="675" w:type="dxa"/>
                  <w:vAlign w:val="center"/>
                </w:tcPr>
                <w:p>
                  <w:pPr>
                    <w:jc w:val="center"/>
                    <w:rPr>
                      <w:rFonts w:hint="eastAsia"/>
                      <w:sz w:val="21"/>
                      <w:szCs w:val="21"/>
                    </w:rPr>
                  </w:pPr>
                  <w:r>
                    <w:rPr>
                      <w:rFonts w:hint="eastAsia"/>
                      <w:sz w:val="21"/>
                      <w:szCs w:val="21"/>
                    </w:rPr>
                    <w:t>0.3</w:t>
                  </w:r>
                </w:p>
              </w:tc>
              <w:tc>
                <w:tcPr>
                  <w:tcW w:w="1170" w:type="dxa"/>
                  <w:vAlign w:val="center"/>
                </w:tcPr>
                <w:p>
                  <w:pPr>
                    <w:widowControl/>
                    <w:jc w:val="center"/>
                    <w:rPr>
                      <w:rFonts w:hint="eastAsia"/>
                      <w:kern w:val="0"/>
                      <w:sz w:val="21"/>
                      <w:szCs w:val="21"/>
                    </w:rPr>
                  </w:pPr>
                  <w:r>
                    <w:rPr>
                      <w:rFonts w:hint="eastAsia"/>
                      <w:kern w:val="0"/>
                      <w:sz w:val="21"/>
                      <w:szCs w:val="21"/>
                    </w:rPr>
                    <w:t>400</w:t>
                  </w:r>
                </w:p>
              </w:tc>
              <w:tc>
                <w:tcPr>
                  <w:tcW w:w="828" w:type="dxa"/>
                  <w:vMerge w:val="continue"/>
                  <w:vAlign w:val="center"/>
                </w:tcPr>
                <w:p>
                  <w:pPr>
                    <w:widowControl/>
                    <w:jc w:val="center"/>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4" w:hRule="atLeast"/>
                <w:jc w:val="center"/>
              </w:trPr>
              <w:tc>
                <w:tcPr>
                  <w:tcW w:w="669" w:type="dxa"/>
                  <w:vMerge w:val="continue"/>
                  <w:vAlign w:val="center"/>
                </w:tcPr>
                <w:p>
                  <w:pPr>
                    <w:widowControl/>
                    <w:jc w:val="center"/>
                    <w:rPr>
                      <w:kern w:val="0"/>
                      <w:sz w:val="21"/>
                      <w:szCs w:val="21"/>
                    </w:rPr>
                  </w:pPr>
                </w:p>
              </w:tc>
              <w:tc>
                <w:tcPr>
                  <w:tcW w:w="683" w:type="dxa"/>
                  <w:vMerge w:val="continue"/>
                  <w:vAlign w:val="center"/>
                </w:tcPr>
                <w:p>
                  <w:pPr>
                    <w:widowControl/>
                    <w:jc w:val="center"/>
                    <w:rPr>
                      <w:kern w:val="0"/>
                      <w:sz w:val="21"/>
                      <w:szCs w:val="21"/>
                    </w:rPr>
                  </w:pPr>
                </w:p>
              </w:tc>
              <w:tc>
                <w:tcPr>
                  <w:tcW w:w="721" w:type="dxa"/>
                  <w:vAlign w:val="center"/>
                </w:tcPr>
                <w:p>
                  <w:pPr>
                    <w:jc w:val="center"/>
                    <w:rPr>
                      <w:sz w:val="21"/>
                      <w:szCs w:val="21"/>
                    </w:rPr>
                  </w:pPr>
                  <w:r>
                    <w:rPr>
                      <w:rFonts w:hAnsi="宋体"/>
                      <w:sz w:val="21"/>
                      <w:szCs w:val="21"/>
                    </w:rPr>
                    <w:t>氨氮</w:t>
                  </w:r>
                </w:p>
              </w:tc>
              <w:tc>
                <w:tcPr>
                  <w:tcW w:w="797" w:type="dxa"/>
                  <w:vAlign w:val="center"/>
                </w:tcPr>
                <w:p>
                  <w:pPr>
                    <w:jc w:val="center"/>
                    <w:rPr>
                      <w:sz w:val="21"/>
                      <w:szCs w:val="21"/>
                    </w:rPr>
                  </w:pPr>
                  <w:r>
                    <w:rPr>
                      <w:rFonts w:hint="eastAsia"/>
                      <w:sz w:val="21"/>
                      <w:szCs w:val="21"/>
                    </w:rPr>
                    <w:t>25</w:t>
                  </w:r>
                </w:p>
              </w:tc>
              <w:tc>
                <w:tcPr>
                  <w:tcW w:w="853" w:type="dxa"/>
                  <w:vAlign w:val="center"/>
                </w:tcPr>
                <w:p>
                  <w:pPr>
                    <w:jc w:val="center"/>
                    <w:rPr>
                      <w:rFonts w:hint="eastAsia"/>
                      <w:sz w:val="21"/>
                      <w:szCs w:val="21"/>
                    </w:rPr>
                  </w:pPr>
                  <w:r>
                    <w:rPr>
                      <w:rFonts w:hint="eastAsia"/>
                      <w:sz w:val="21"/>
                      <w:szCs w:val="21"/>
                    </w:rPr>
                    <w:t>0.03</w:t>
                  </w:r>
                </w:p>
              </w:tc>
              <w:tc>
                <w:tcPr>
                  <w:tcW w:w="855" w:type="dxa"/>
                  <w:vMerge w:val="continue"/>
                  <w:vAlign w:val="center"/>
                </w:tcPr>
                <w:p>
                  <w:pPr>
                    <w:widowControl/>
                    <w:jc w:val="center"/>
                    <w:rPr>
                      <w:kern w:val="0"/>
                      <w:sz w:val="21"/>
                      <w:szCs w:val="21"/>
                    </w:rPr>
                  </w:pPr>
                </w:p>
              </w:tc>
              <w:tc>
                <w:tcPr>
                  <w:tcW w:w="675" w:type="dxa"/>
                  <w:vAlign w:val="center"/>
                </w:tcPr>
                <w:p>
                  <w:pPr>
                    <w:jc w:val="center"/>
                    <w:rPr>
                      <w:sz w:val="21"/>
                      <w:szCs w:val="21"/>
                    </w:rPr>
                  </w:pPr>
                  <w:r>
                    <w:rPr>
                      <w:rFonts w:hint="eastAsia"/>
                      <w:sz w:val="21"/>
                      <w:szCs w:val="21"/>
                    </w:rPr>
                    <w:t>0</w:t>
                  </w:r>
                </w:p>
              </w:tc>
              <w:tc>
                <w:tcPr>
                  <w:tcW w:w="1170" w:type="dxa"/>
                  <w:vAlign w:val="center"/>
                </w:tcPr>
                <w:p>
                  <w:pPr>
                    <w:jc w:val="center"/>
                    <w:rPr>
                      <w:sz w:val="21"/>
                      <w:szCs w:val="21"/>
                    </w:rPr>
                  </w:pPr>
                  <w:r>
                    <w:rPr>
                      <w:rFonts w:hint="eastAsia"/>
                      <w:sz w:val="21"/>
                      <w:szCs w:val="21"/>
                    </w:rPr>
                    <w:t>25</w:t>
                  </w:r>
                </w:p>
              </w:tc>
              <w:tc>
                <w:tcPr>
                  <w:tcW w:w="675" w:type="dxa"/>
                  <w:vAlign w:val="center"/>
                </w:tcPr>
                <w:p>
                  <w:pPr>
                    <w:jc w:val="center"/>
                    <w:rPr>
                      <w:rFonts w:hint="eastAsia"/>
                      <w:sz w:val="21"/>
                      <w:szCs w:val="21"/>
                    </w:rPr>
                  </w:pPr>
                  <w:r>
                    <w:rPr>
                      <w:rFonts w:hint="eastAsia"/>
                      <w:sz w:val="21"/>
                      <w:szCs w:val="21"/>
                    </w:rPr>
                    <w:t>0.03</w:t>
                  </w:r>
                </w:p>
              </w:tc>
              <w:tc>
                <w:tcPr>
                  <w:tcW w:w="1170" w:type="dxa"/>
                  <w:vAlign w:val="center"/>
                </w:tcPr>
                <w:p>
                  <w:pPr>
                    <w:widowControl/>
                    <w:jc w:val="center"/>
                    <w:rPr>
                      <w:kern w:val="0"/>
                      <w:sz w:val="21"/>
                      <w:szCs w:val="21"/>
                    </w:rPr>
                  </w:pPr>
                  <w:r>
                    <w:rPr>
                      <w:rFonts w:hint="eastAsia"/>
                      <w:kern w:val="0"/>
                      <w:sz w:val="21"/>
                      <w:szCs w:val="21"/>
                    </w:rPr>
                    <w:t>35</w:t>
                  </w:r>
                </w:p>
              </w:tc>
              <w:tc>
                <w:tcPr>
                  <w:tcW w:w="828" w:type="dxa"/>
                  <w:vMerge w:val="continue"/>
                  <w:vAlign w:val="center"/>
                </w:tcPr>
                <w:p>
                  <w:pPr>
                    <w:widowControl/>
                    <w:jc w:val="center"/>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3" w:hRule="atLeast"/>
                <w:jc w:val="center"/>
              </w:trPr>
              <w:tc>
                <w:tcPr>
                  <w:tcW w:w="669" w:type="dxa"/>
                  <w:vMerge w:val="continue"/>
                  <w:vAlign w:val="center"/>
                </w:tcPr>
                <w:p>
                  <w:pPr>
                    <w:widowControl/>
                    <w:jc w:val="center"/>
                    <w:rPr>
                      <w:kern w:val="0"/>
                      <w:sz w:val="21"/>
                      <w:szCs w:val="21"/>
                    </w:rPr>
                  </w:pPr>
                </w:p>
              </w:tc>
              <w:tc>
                <w:tcPr>
                  <w:tcW w:w="683" w:type="dxa"/>
                  <w:vMerge w:val="continue"/>
                  <w:vAlign w:val="center"/>
                </w:tcPr>
                <w:p>
                  <w:pPr>
                    <w:widowControl/>
                    <w:jc w:val="center"/>
                    <w:rPr>
                      <w:kern w:val="0"/>
                      <w:sz w:val="21"/>
                      <w:szCs w:val="21"/>
                    </w:rPr>
                  </w:pPr>
                </w:p>
              </w:tc>
              <w:tc>
                <w:tcPr>
                  <w:tcW w:w="721" w:type="dxa"/>
                  <w:vAlign w:val="center"/>
                </w:tcPr>
                <w:p>
                  <w:pPr>
                    <w:jc w:val="center"/>
                    <w:rPr>
                      <w:sz w:val="21"/>
                      <w:szCs w:val="21"/>
                    </w:rPr>
                  </w:pPr>
                  <w:r>
                    <w:rPr>
                      <w:sz w:val="21"/>
                      <w:szCs w:val="21"/>
                    </w:rPr>
                    <w:t>TP</w:t>
                  </w:r>
                </w:p>
              </w:tc>
              <w:tc>
                <w:tcPr>
                  <w:tcW w:w="797" w:type="dxa"/>
                  <w:vAlign w:val="center"/>
                </w:tcPr>
                <w:p>
                  <w:pPr>
                    <w:jc w:val="center"/>
                    <w:rPr>
                      <w:rFonts w:hint="eastAsia"/>
                      <w:sz w:val="21"/>
                      <w:szCs w:val="21"/>
                    </w:rPr>
                  </w:pPr>
                  <w:r>
                    <w:rPr>
                      <w:rFonts w:hint="eastAsia"/>
                      <w:sz w:val="21"/>
                      <w:szCs w:val="21"/>
                    </w:rPr>
                    <w:t>4</w:t>
                  </w:r>
                </w:p>
              </w:tc>
              <w:tc>
                <w:tcPr>
                  <w:tcW w:w="853" w:type="dxa"/>
                  <w:vAlign w:val="center"/>
                </w:tcPr>
                <w:p>
                  <w:pPr>
                    <w:jc w:val="center"/>
                    <w:rPr>
                      <w:rFonts w:hint="eastAsia"/>
                      <w:sz w:val="21"/>
                      <w:szCs w:val="21"/>
                    </w:rPr>
                  </w:pPr>
                  <w:r>
                    <w:rPr>
                      <w:rFonts w:hint="eastAsia"/>
                      <w:sz w:val="21"/>
                      <w:szCs w:val="21"/>
                    </w:rPr>
                    <w:t>0.0048</w:t>
                  </w:r>
                </w:p>
              </w:tc>
              <w:tc>
                <w:tcPr>
                  <w:tcW w:w="855" w:type="dxa"/>
                  <w:vMerge w:val="continue"/>
                  <w:vAlign w:val="center"/>
                </w:tcPr>
                <w:p>
                  <w:pPr>
                    <w:widowControl/>
                    <w:jc w:val="center"/>
                    <w:rPr>
                      <w:kern w:val="0"/>
                      <w:sz w:val="21"/>
                      <w:szCs w:val="21"/>
                    </w:rPr>
                  </w:pPr>
                </w:p>
              </w:tc>
              <w:tc>
                <w:tcPr>
                  <w:tcW w:w="675" w:type="dxa"/>
                  <w:vAlign w:val="center"/>
                </w:tcPr>
                <w:p>
                  <w:pPr>
                    <w:jc w:val="center"/>
                    <w:rPr>
                      <w:sz w:val="21"/>
                      <w:szCs w:val="21"/>
                    </w:rPr>
                  </w:pPr>
                  <w:r>
                    <w:rPr>
                      <w:rFonts w:hint="eastAsia"/>
                      <w:sz w:val="21"/>
                      <w:szCs w:val="21"/>
                    </w:rPr>
                    <w:t>0</w:t>
                  </w:r>
                </w:p>
              </w:tc>
              <w:tc>
                <w:tcPr>
                  <w:tcW w:w="1170" w:type="dxa"/>
                  <w:vAlign w:val="center"/>
                </w:tcPr>
                <w:p>
                  <w:pPr>
                    <w:jc w:val="center"/>
                    <w:rPr>
                      <w:rFonts w:hint="eastAsia"/>
                      <w:sz w:val="21"/>
                      <w:szCs w:val="21"/>
                    </w:rPr>
                  </w:pPr>
                  <w:r>
                    <w:rPr>
                      <w:rFonts w:hint="eastAsia"/>
                      <w:sz w:val="21"/>
                      <w:szCs w:val="21"/>
                    </w:rPr>
                    <w:t>4</w:t>
                  </w:r>
                </w:p>
              </w:tc>
              <w:tc>
                <w:tcPr>
                  <w:tcW w:w="675" w:type="dxa"/>
                  <w:vAlign w:val="center"/>
                </w:tcPr>
                <w:p>
                  <w:pPr>
                    <w:jc w:val="center"/>
                    <w:rPr>
                      <w:rFonts w:hint="eastAsia"/>
                      <w:sz w:val="21"/>
                      <w:szCs w:val="21"/>
                    </w:rPr>
                  </w:pPr>
                  <w:r>
                    <w:rPr>
                      <w:rFonts w:hint="eastAsia"/>
                      <w:sz w:val="21"/>
                      <w:szCs w:val="21"/>
                    </w:rPr>
                    <w:t>0.0048</w:t>
                  </w:r>
                </w:p>
              </w:tc>
              <w:tc>
                <w:tcPr>
                  <w:tcW w:w="1170" w:type="dxa"/>
                  <w:vAlign w:val="center"/>
                </w:tcPr>
                <w:p>
                  <w:pPr>
                    <w:widowControl/>
                    <w:jc w:val="center"/>
                    <w:rPr>
                      <w:kern w:val="0"/>
                      <w:sz w:val="21"/>
                      <w:szCs w:val="21"/>
                    </w:rPr>
                  </w:pPr>
                  <w:r>
                    <w:rPr>
                      <w:rFonts w:hint="eastAsia"/>
                      <w:kern w:val="0"/>
                      <w:sz w:val="21"/>
                      <w:szCs w:val="21"/>
                    </w:rPr>
                    <w:t>8</w:t>
                  </w:r>
                </w:p>
              </w:tc>
              <w:tc>
                <w:tcPr>
                  <w:tcW w:w="828" w:type="dxa"/>
                  <w:vMerge w:val="continue"/>
                  <w:vAlign w:val="center"/>
                </w:tcPr>
                <w:p>
                  <w:pPr>
                    <w:widowControl/>
                    <w:jc w:val="center"/>
                    <w:rPr>
                      <w:kern w:val="0"/>
                      <w:sz w:val="21"/>
                      <w:szCs w:val="21"/>
                    </w:rPr>
                  </w:pPr>
                </w:p>
              </w:tc>
            </w:tr>
            <w:bookmarkEnd w:id="4"/>
          </w:tbl>
          <w:p>
            <w:pPr>
              <w:spacing w:line="440" w:lineRule="exact"/>
              <w:ind w:firstLine="480" w:firstLineChars="200"/>
              <w:rPr>
                <w:sz w:val="24"/>
              </w:rPr>
            </w:pPr>
            <w:bookmarkStart w:id="5" w:name="_Toc141089178"/>
            <w:r>
              <w:rPr>
                <w:sz w:val="24"/>
              </w:rPr>
              <w:t>3、噪声</w:t>
            </w:r>
            <w:bookmarkEnd w:id="5"/>
          </w:p>
          <w:p>
            <w:pPr>
              <w:spacing w:line="440" w:lineRule="exact"/>
              <w:ind w:firstLine="480" w:firstLineChars="200"/>
              <w:rPr>
                <w:rFonts w:hint="eastAsia"/>
                <w:sz w:val="24"/>
              </w:rPr>
            </w:pPr>
            <w:r>
              <w:rPr>
                <w:rFonts w:hint="eastAsia" w:hAnsi="宋体"/>
                <w:sz w:val="24"/>
              </w:rPr>
              <w:t>项目建成运营期主要噪声源来自各运输车辆、风机、水泵等，</w:t>
            </w:r>
            <w:r>
              <w:rPr>
                <w:rFonts w:hint="eastAsia"/>
                <w:sz w:val="24"/>
              </w:rPr>
              <w:t>项目噪声产生及治理情况具体见表30。</w:t>
            </w:r>
          </w:p>
          <w:p>
            <w:pPr>
              <w:snapToGrid w:val="0"/>
              <w:jc w:val="center"/>
              <w:outlineLvl w:val="0"/>
              <w:rPr>
                <w:rFonts w:hint="eastAsia"/>
                <w:sz w:val="24"/>
                <w:szCs w:val="24"/>
              </w:rPr>
            </w:pPr>
            <w:r>
              <w:rPr>
                <w:sz w:val="24"/>
                <w:szCs w:val="24"/>
              </w:rPr>
              <w:t>表</w:t>
            </w:r>
            <w:r>
              <w:rPr>
                <w:rFonts w:hint="eastAsia"/>
                <w:sz w:val="24"/>
                <w:szCs w:val="24"/>
              </w:rPr>
              <w:t xml:space="preserve">30 </w:t>
            </w:r>
            <w:r>
              <w:rPr>
                <w:sz w:val="24"/>
                <w:szCs w:val="24"/>
              </w:rPr>
              <w:t>噪声产生及治理情况</w:t>
            </w:r>
          </w:p>
          <w:tbl>
            <w:tblPr>
              <w:tblStyle w:val="34"/>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239"/>
              <w:gridCol w:w="677"/>
              <w:gridCol w:w="983"/>
              <w:gridCol w:w="981"/>
              <w:gridCol w:w="1085"/>
              <w:gridCol w:w="2274"/>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539" w:type="dxa"/>
                  <w:vAlign w:val="center"/>
                </w:tcPr>
                <w:p>
                  <w:pPr>
                    <w:jc w:val="center"/>
                    <w:rPr>
                      <w:rFonts w:hint="eastAsia"/>
                      <w:sz w:val="21"/>
                      <w:szCs w:val="21"/>
                    </w:rPr>
                  </w:pPr>
                  <w:r>
                    <w:rPr>
                      <w:rFonts w:hint="eastAsia"/>
                      <w:sz w:val="21"/>
                      <w:szCs w:val="21"/>
                    </w:rPr>
                    <w:t>序号</w:t>
                  </w:r>
                </w:p>
              </w:tc>
              <w:tc>
                <w:tcPr>
                  <w:tcW w:w="1239" w:type="dxa"/>
                  <w:vAlign w:val="center"/>
                </w:tcPr>
                <w:p>
                  <w:pPr>
                    <w:jc w:val="center"/>
                    <w:rPr>
                      <w:rFonts w:hint="eastAsia"/>
                      <w:sz w:val="21"/>
                      <w:szCs w:val="21"/>
                    </w:rPr>
                  </w:pPr>
                  <w:r>
                    <w:rPr>
                      <w:rFonts w:hint="eastAsia"/>
                      <w:sz w:val="21"/>
                      <w:szCs w:val="21"/>
                    </w:rPr>
                    <w:t>噪声源</w:t>
                  </w:r>
                </w:p>
                <w:p>
                  <w:pPr>
                    <w:jc w:val="center"/>
                    <w:rPr>
                      <w:rFonts w:hint="eastAsia"/>
                      <w:sz w:val="21"/>
                      <w:szCs w:val="21"/>
                    </w:rPr>
                  </w:pPr>
                  <w:r>
                    <w:rPr>
                      <w:rFonts w:hint="eastAsia"/>
                      <w:sz w:val="21"/>
                      <w:szCs w:val="21"/>
                    </w:rPr>
                    <w:t>名称</w:t>
                  </w:r>
                </w:p>
              </w:tc>
              <w:tc>
                <w:tcPr>
                  <w:tcW w:w="677" w:type="dxa"/>
                  <w:vAlign w:val="center"/>
                </w:tcPr>
                <w:p>
                  <w:pPr>
                    <w:jc w:val="center"/>
                    <w:rPr>
                      <w:rFonts w:hint="eastAsia"/>
                      <w:sz w:val="21"/>
                      <w:szCs w:val="21"/>
                    </w:rPr>
                  </w:pPr>
                  <w:r>
                    <w:rPr>
                      <w:rFonts w:hint="eastAsia"/>
                      <w:sz w:val="21"/>
                      <w:szCs w:val="21"/>
                    </w:rPr>
                    <w:t>数量</w:t>
                  </w:r>
                </w:p>
              </w:tc>
              <w:tc>
                <w:tcPr>
                  <w:tcW w:w="983" w:type="dxa"/>
                  <w:vAlign w:val="center"/>
                </w:tcPr>
                <w:p>
                  <w:pPr>
                    <w:jc w:val="center"/>
                    <w:rPr>
                      <w:rFonts w:hint="eastAsia"/>
                      <w:sz w:val="21"/>
                      <w:szCs w:val="21"/>
                    </w:rPr>
                  </w:pPr>
                  <w:r>
                    <w:rPr>
                      <w:rFonts w:hint="eastAsia"/>
                      <w:sz w:val="21"/>
                      <w:szCs w:val="21"/>
                    </w:rPr>
                    <w:t>噪声声级</w:t>
                  </w:r>
                </w:p>
                <w:p>
                  <w:pPr>
                    <w:jc w:val="center"/>
                    <w:rPr>
                      <w:rFonts w:hint="eastAsia"/>
                      <w:sz w:val="21"/>
                      <w:szCs w:val="21"/>
                    </w:rPr>
                  </w:pPr>
                  <w:r>
                    <w:rPr>
                      <w:rFonts w:hint="eastAsia"/>
                      <w:sz w:val="21"/>
                      <w:szCs w:val="21"/>
                    </w:rPr>
                    <w:t>dB（A）</w:t>
                  </w:r>
                </w:p>
              </w:tc>
              <w:tc>
                <w:tcPr>
                  <w:tcW w:w="981" w:type="dxa"/>
                  <w:vAlign w:val="center"/>
                </w:tcPr>
                <w:p>
                  <w:pPr>
                    <w:jc w:val="center"/>
                    <w:rPr>
                      <w:rFonts w:hint="eastAsia"/>
                      <w:sz w:val="21"/>
                      <w:szCs w:val="21"/>
                    </w:rPr>
                  </w:pPr>
                  <w:r>
                    <w:rPr>
                      <w:rFonts w:hint="eastAsia"/>
                      <w:sz w:val="21"/>
                      <w:szCs w:val="21"/>
                    </w:rPr>
                    <w:t>所在车间</w:t>
                  </w:r>
                </w:p>
              </w:tc>
              <w:tc>
                <w:tcPr>
                  <w:tcW w:w="1085" w:type="dxa"/>
                  <w:vAlign w:val="center"/>
                </w:tcPr>
                <w:p>
                  <w:pPr>
                    <w:jc w:val="center"/>
                    <w:rPr>
                      <w:rFonts w:hint="eastAsia"/>
                      <w:sz w:val="21"/>
                      <w:szCs w:val="21"/>
                    </w:rPr>
                  </w:pPr>
                  <w:r>
                    <w:rPr>
                      <w:rFonts w:hint="eastAsia"/>
                      <w:sz w:val="21"/>
                      <w:szCs w:val="21"/>
                    </w:rPr>
                    <w:t>距最近厂界位置m</w:t>
                  </w:r>
                </w:p>
              </w:tc>
              <w:tc>
                <w:tcPr>
                  <w:tcW w:w="2274" w:type="dxa"/>
                  <w:vAlign w:val="center"/>
                </w:tcPr>
                <w:p>
                  <w:pPr>
                    <w:jc w:val="center"/>
                    <w:rPr>
                      <w:rFonts w:hint="eastAsia"/>
                      <w:sz w:val="21"/>
                      <w:szCs w:val="21"/>
                    </w:rPr>
                  </w:pPr>
                  <w:r>
                    <w:rPr>
                      <w:rFonts w:hint="eastAsia"/>
                      <w:sz w:val="21"/>
                      <w:szCs w:val="21"/>
                    </w:rPr>
                    <w:t>治理措施</w:t>
                  </w:r>
                </w:p>
              </w:tc>
              <w:tc>
                <w:tcPr>
                  <w:tcW w:w="1340" w:type="dxa"/>
                  <w:vAlign w:val="center"/>
                </w:tcPr>
                <w:p>
                  <w:pPr>
                    <w:jc w:val="center"/>
                    <w:rPr>
                      <w:rFonts w:hint="eastAsia"/>
                      <w:sz w:val="21"/>
                      <w:szCs w:val="21"/>
                    </w:rPr>
                  </w:pPr>
                  <w:r>
                    <w:rPr>
                      <w:rFonts w:hint="eastAsia"/>
                      <w:sz w:val="21"/>
                      <w:szCs w:val="21"/>
                    </w:rPr>
                    <w:t>降噪效果 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539" w:type="dxa"/>
                  <w:vAlign w:val="center"/>
                </w:tcPr>
                <w:p>
                  <w:pPr>
                    <w:jc w:val="center"/>
                    <w:rPr>
                      <w:rFonts w:hint="eastAsia"/>
                      <w:sz w:val="21"/>
                      <w:szCs w:val="21"/>
                    </w:rPr>
                  </w:pPr>
                  <w:r>
                    <w:rPr>
                      <w:rFonts w:hint="eastAsia"/>
                      <w:sz w:val="21"/>
                      <w:szCs w:val="21"/>
                    </w:rPr>
                    <w:t>1</w:t>
                  </w:r>
                </w:p>
              </w:tc>
              <w:tc>
                <w:tcPr>
                  <w:tcW w:w="1239" w:type="dxa"/>
                  <w:vAlign w:val="center"/>
                </w:tcPr>
                <w:p>
                  <w:pPr>
                    <w:jc w:val="center"/>
                    <w:rPr>
                      <w:rFonts w:hint="eastAsia"/>
                      <w:sz w:val="21"/>
                      <w:szCs w:val="21"/>
                    </w:rPr>
                  </w:pPr>
                  <w:r>
                    <w:rPr>
                      <w:rFonts w:hint="eastAsia"/>
                      <w:sz w:val="21"/>
                      <w:szCs w:val="21"/>
                    </w:rPr>
                    <w:t>车辆</w:t>
                  </w:r>
                </w:p>
              </w:tc>
              <w:tc>
                <w:tcPr>
                  <w:tcW w:w="677" w:type="dxa"/>
                  <w:vAlign w:val="center"/>
                </w:tcPr>
                <w:p>
                  <w:pPr>
                    <w:jc w:val="center"/>
                    <w:rPr>
                      <w:rFonts w:hint="eastAsia"/>
                      <w:sz w:val="21"/>
                      <w:szCs w:val="21"/>
                    </w:rPr>
                  </w:pPr>
                  <w:r>
                    <w:rPr>
                      <w:rFonts w:hint="eastAsia"/>
                      <w:sz w:val="21"/>
                      <w:szCs w:val="21"/>
                    </w:rPr>
                    <w:t>若干</w:t>
                  </w:r>
                </w:p>
              </w:tc>
              <w:tc>
                <w:tcPr>
                  <w:tcW w:w="983" w:type="dxa"/>
                  <w:vAlign w:val="center"/>
                </w:tcPr>
                <w:p>
                  <w:pPr>
                    <w:jc w:val="center"/>
                    <w:rPr>
                      <w:rFonts w:hint="eastAsia"/>
                      <w:sz w:val="21"/>
                      <w:szCs w:val="21"/>
                    </w:rPr>
                  </w:pPr>
                  <w:r>
                    <w:rPr>
                      <w:rFonts w:hint="eastAsia"/>
                      <w:sz w:val="21"/>
                      <w:szCs w:val="21"/>
                    </w:rPr>
                    <w:t>80~85</w:t>
                  </w:r>
                </w:p>
              </w:tc>
              <w:tc>
                <w:tcPr>
                  <w:tcW w:w="981" w:type="dxa"/>
                  <w:vAlign w:val="center"/>
                </w:tcPr>
                <w:p>
                  <w:pPr>
                    <w:adjustRightInd w:val="0"/>
                    <w:snapToGrid w:val="0"/>
                    <w:jc w:val="center"/>
                    <w:rPr>
                      <w:rFonts w:hint="eastAsia"/>
                      <w:sz w:val="21"/>
                      <w:szCs w:val="21"/>
                    </w:rPr>
                  </w:pPr>
                  <w:r>
                    <w:rPr>
                      <w:rFonts w:hint="eastAsia"/>
                      <w:sz w:val="21"/>
                      <w:szCs w:val="21"/>
                    </w:rPr>
                    <w:t>/</w:t>
                  </w:r>
                </w:p>
              </w:tc>
              <w:tc>
                <w:tcPr>
                  <w:tcW w:w="1085" w:type="dxa"/>
                  <w:vAlign w:val="center"/>
                </w:tcPr>
                <w:p>
                  <w:pPr>
                    <w:jc w:val="center"/>
                    <w:rPr>
                      <w:rFonts w:hint="eastAsia"/>
                      <w:sz w:val="21"/>
                      <w:szCs w:val="21"/>
                    </w:rPr>
                  </w:pPr>
                  <w:r>
                    <w:rPr>
                      <w:rFonts w:hint="eastAsia"/>
                      <w:sz w:val="21"/>
                      <w:szCs w:val="21"/>
                    </w:rPr>
                    <w:t>30</w:t>
                  </w:r>
                </w:p>
              </w:tc>
              <w:tc>
                <w:tcPr>
                  <w:tcW w:w="2274" w:type="dxa"/>
                  <w:vAlign w:val="center"/>
                </w:tcPr>
                <w:p>
                  <w:pPr>
                    <w:jc w:val="center"/>
                    <w:rPr>
                      <w:rFonts w:hint="eastAsia"/>
                      <w:sz w:val="21"/>
                      <w:szCs w:val="21"/>
                    </w:rPr>
                  </w:pPr>
                  <w:r>
                    <w:rPr>
                      <w:rFonts w:hint="eastAsia"/>
                      <w:sz w:val="21"/>
                      <w:szCs w:val="21"/>
                    </w:rPr>
                    <w:t>厂内行驶的车辆不得鸣笛，并限制噪声超标车辆驶入</w:t>
                  </w:r>
                </w:p>
              </w:tc>
              <w:tc>
                <w:tcPr>
                  <w:tcW w:w="1340" w:type="dxa"/>
                  <w:vAlign w:val="center"/>
                </w:tcPr>
                <w:p>
                  <w:pPr>
                    <w:jc w:val="center"/>
                    <w:rPr>
                      <w:rFonts w:hint="eastAsia"/>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539" w:type="dxa"/>
                  <w:vAlign w:val="center"/>
                </w:tcPr>
                <w:p>
                  <w:pPr>
                    <w:jc w:val="center"/>
                    <w:rPr>
                      <w:rFonts w:hint="eastAsia"/>
                      <w:sz w:val="21"/>
                      <w:szCs w:val="21"/>
                    </w:rPr>
                  </w:pPr>
                  <w:r>
                    <w:rPr>
                      <w:rFonts w:hint="eastAsia"/>
                      <w:sz w:val="21"/>
                      <w:szCs w:val="21"/>
                    </w:rPr>
                    <w:t>2</w:t>
                  </w:r>
                </w:p>
              </w:tc>
              <w:tc>
                <w:tcPr>
                  <w:tcW w:w="1239" w:type="dxa"/>
                  <w:vAlign w:val="center"/>
                </w:tcPr>
                <w:p>
                  <w:pPr>
                    <w:adjustRightInd w:val="0"/>
                    <w:snapToGrid w:val="0"/>
                    <w:jc w:val="center"/>
                    <w:rPr>
                      <w:rFonts w:hint="eastAsia"/>
                      <w:kern w:val="0"/>
                      <w:sz w:val="21"/>
                      <w:szCs w:val="21"/>
                    </w:rPr>
                  </w:pPr>
                  <w:r>
                    <w:rPr>
                      <w:rFonts w:hint="eastAsia"/>
                      <w:kern w:val="0"/>
                      <w:sz w:val="21"/>
                      <w:szCs w:val="21"/>
                    </w:rPr>
                    <w:t>风机</w:t>
                  </w:r>
                </w:p>
              </w:tc>
              <w:tc>
                <w:tcPr>
                  <w:tcW w:w="677" w:type="dxa"/>
                  <w:vAlign w:val="center"/>
                </w:tcPr>
                <w:p>
                  <w:pPr>
                    <w:jc w:val="center"/>
                    <w:rPr>
                      <w:rFonts w:hint="eastAsia"/>
                      <w:sz w:val="21"/>
                      <w:szCs w:val="21"/>
                    </w:rPr>
                  </w:pPr>
                  <w:r>
                    <w:rPr>
                      <w:rFonts w:hint="eastAsia"/>
                      <w:sz w:val="21"/>
                      <w:szCs w:val="21"/>
                    </w:rPr>
                    <w:t>5</w:t>
                  </w:r>
                </w:p>
              </w:tc>
              <w:tc>
                <w:tcPr>
                  <w:tcW w:w="983" w:type="dxa"/>
                  <w:vAlign w:val="center"/>
                </w:tcPr>
                <w:p>
                  <w:pPr>
                    <w:adjustRightInd w:val="0"/>
                    <w:snapToGrid w:val="0"/>
                    <w:jc w:val="center"/>
                    <w:rPr>
                      <w:rFonts w:hint="eastAsia"/>
                      <w:sz w:val="21"/>
                      <w:szCs w:val="21"/>
                    </w:rPr>
                  </w:pPr>
                  <w:r>
                    <w:rPr>
                      <w:rFonts w:hint="eastAsia"/>
                      <w:sz w:val="21"/>
                      <w:szCs w:val="21"/>
                    </w:rPr>
                    <w:t>80~85</w:t>
                  </w:r>
                </w:p>
              </w:tc>
              <w:tc>
                <w:tcPr>
                  <w:tcW w:w="981" w:type="dxa"/>
                  <w:vAlign w:val="center"/>
                </w:tcPr>
                <w:p>
                  <w:pPr>
                    <w:adjustRightInd w:val="0"/>
                    <w:snapToGrid w:val="0"/>
                    <w:jc w:val="center"/>
                    <w:rPr>
                      <w:rFonts w:hint="eastAsia"/>
                      <w:sz w:val="21"/>
                      <w:szCs w:val="21"/>
                    </w:rPr>
                  </w:pPr>
                  <w:r>
                    <w:rPr>
                      <w:rFonts w:hint="eastAsia"/>
                      <w:sz w:val="21"/>
                      <w:szCs w:val="21"/>
                    </w:rPr>
                    <w:t>/</w:t>
                  </w:r>
                </w:p>
              </w:tc>
              <w:tc>
                <w:tcPr>
                  <w:tcW w:w="1085" w:type="dxa"/>
                  <w:vAlign w:val="center"/>
                </w:tcPr>
                <w:p>
                  <w:pPr>
                    <w:jc w:val="center"/>
                    <w:rPr>
                      <w:rFonts w:hint="eastAsia"/>
                      <w:sz w:val="21"/>
                      <w:szCs w:val="21"/>
                    </w:rPr>
                  </w:pPr>
                  <w:r>
                    <w:rPr>
                      <w:rFonts w:hint="eastAsia"/>
                      <w:sz w:val="21"/>
                      <w:szCs w:val="21"/>
                    </w:rPr>
                    <w:t>30</w:t>
                  </w:r>
                </w:p>
              </w:tc>
              <w:tc>
                <w:tcPr>
                  <w:tcW w:w="2274" w:type="dxa"/>
                  <w:vAlign w:val="center"/>
                </w:tcPr>
                <w:p>
                  <w:pPr>
                    <w:jc w:val="center"/>
                    <w:rPr>
                      <w:sz w:val="21"/>
                      <w:szCs w:val="21"/>
                    </w:rPr>
                  </w:pPr>
                  <w:r>
                    <w:rPr>
                      <w:sz w:val="21"/>
                      <w:szCs w:val="21"/>
                    </w:rPr>
                    <w:t>减振、定期维护、建筑隔声</w:t>
                  </w:r>
                </w:p>
              </w:tc>
              <w:tc>
                <w:tcPr>
                  <w:tcW w:w="1340" w:type="dxa"/>
                  <w:vAlign w:val="center"/>
                </w:tcPr>
                <w:p>
                  <w:pPr>
                    <w:jc w:val="center"/>
                    <w:rPr>
                      <w:sz w:val="21"/>
                      <w:szCs w:val="21"/>
                    </w:rPr>
                  </w:pPr>
                  <w:r>
                    <w:rPr>
                      <w:rFonts w:hint="eastAsia"/>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539" w:type="dxa"/>
                  <w:vAlign w:val="center"/>
                </w:tcPr>
                <w:p>
                  <w:pPr>
                    <w:jc w:val="center"/>
                    <w:rPr>
                      <w:rFonts w:hint="eastAsia"/>
                      <w:sz w:val="21"/>
                      <w:szCs w:val="21"/>
                    </w:rPr>
                  </w:pPr>
                  <w:r>
                    <w:rPr>
                      <w:rFonts w:hint="eastAsia"/>
                      <w:sz w:val="21"/>
                      <w:szCs w:val="21"/>
                    </w:rPr>
                    <w:t>3</w:t>
                  </w:r>
                </w:p>
              </w:tc>
              <w:tc>
                <w:tcPr>
                  <w:tcW w:w="1239" w:type="dxa"/>
                  <w:vAlign w:val="center"/>
                </w:tcPr>
                <w:p>
                  <w:pPr>
                    <w:adjustRightInd w:val="0"/>
                    <w:snapToGrid w:val="0"/>
                    <w:jc w:val="center"/>
                    <w:rPr>
                      <w:rFonts w:hint="eastAsia"/>
                      <w:kern w:val="0"/>
                      <w:sz w:val="21"/>
                      <w:szCs w:val="21"/>
                    </w:rPr>
                  </w:pPr>
                  <w:r>
                    <w:rPr>
                      <w:rFonts w:hint="eastAsia"/>
                      <w:kern w:val="0"/>
                      <w:sz w:val="21"/>
                      <w:szCs w:val="21"/>
                    </w:rPr>
                    <w:t>水泵</w:t>
                  </w:r>
                </w:p>
              </w:tc>
              <w:tc>
                <w:tcPr>
                  <w:tcW w:w="677" w:type="dxa"/>
                  <w:vAlign w:val="center"/>
                </w:tcPr>
                <w:p>
                  <w:pPr>
                    <w:jc w:val="center"/>
                    <w:rPr>
                      <w:rFonts w:hint="eastAsia"/>
                      <w:sz w:val="21"/>
                      <w:szCs w:val="21"/>
                    </w:rPr>
                  </w:pPr>
                  <w:r>
                    <w:rPr>
                      <w:rFonts w:hint="eastAsia"/>
                      <w:sz w:val="21"/>
                      <w:szCs w:val="21"/>
                    </w:rPr>
                    <w:t>若干</w:t>
                  </w:r>
                </w:p>
              </w:tc>
              <w:tc>
                <w:tcPr>
                  <w:tcW w:w="983" w:type="dxa"/>
                  <w:vAlign w:val="center"/>
                </w:tcPr>
                <w:p>
                  <w:pPr>
                    <w:adjustRightInd w:val="0"/>
                    <w:snapToGrid w:val="0"/>
                    <w:jc w:val="center"/>
                    <w:rPr>
                      <w:rFonts w:hint="eastAsia"/>
                      <w:sz w:val="21"/>
                      <w:szCs w:val="21"/>
                    </w:rPr>
                  </w:pPr>
                  <w:r>
                    <w:rPr>
                      <w:rFonts w:hint="eastAsia"/>
                      <w:sz w:val="21"/>
                      <w:szCs w:val="21"/>
                    </w:rPr>
                    <w:t>80~85</w:t>
                  </w:r>
                </w:p>
              </w:tc>
              <w:tc>
                <w:tcPr>
                  <w:tcW w:w="981" w:type="dxa"/>
                  <w:vAlign w:val="center"/>
                </w:tcPr>
                <w:p>
                  <w:pPr>
                    <w:adjustRightInd w:val="0"/>
                    <w:snapToGrid w:val="0"/>
                    <w:jc w:val="center"/>
                    <w:rPr>
                      <w:rFonts w:hint="eastAsia"/>
                      <w:sz w:val="21"/>
                      <w:szCs w:val="21"/>
                    </w:rPr>
                  </w:pPr>
                  <w:r>
                    <w:rPr>
                      <w:rFonts w:hint="eastAsia"/>
                      <w:sz w:val="21"/>
                      <w:szCs w:val="21"/>
                    </w:rPr>
                    <w:t>/</w:t>
                  </w:r>
                </w:p>
              </w:tc>
              <w:tc>
                <w:tcPr>
                  <w:tcW w:w="1085" w:type="dxa"/>
                  <w:vAlign w:val="center"/>
                </w:tcPr>
                <w:p>
                  <w:pPr>
                    <w:jc w:val="center"/>
                    <w:rPr>
                      <w:rFonts w:hint="eastAsia"/>
                      <w:sz w:val="21"/>
                      <w:szCs w:val="21"/>
                    </w:rPr>
                  </w:pPr>
                  <w:r>
                    <w:rPr>
                      <w:rFonts w:hint="eastAsia"/>
                      <w:sz w:val="21"/>
                      <w:szCs w:val="21"/>
                    </w:rPr>
                    <w:t>30</w:t>
                  </w:r>
                </w:p>
              </w:tc>
              <w:tc>
                <w:tcPr>
                  <w:tcW w:w="2274" w:type="dxa"/>
                  <w:vAlign w:val="center"/>
                </w:tcPr>
                <w:p>
                  <w:pPr>
                    <w:jc w:val="center"/>
                    <w:rPr>
                      <w:sz w:val="21"/>
                      <w:szCs w:val="21"/>
                    </w:rPr>
                  </w:pPr>
                  <w:r>
                    <w:rPr>
                      <w:sz w:val="21"/>
                      <w:szCs w:val="21"/>
                    </w:rPr>
                    <w:t>减振、定期维护、建筑隔声</w:t>
                  </w:r>
                </w:p>
              </w:tc>
              <w:tc>
                <w:tcPr>
                  <w:tcW w:w="1340" w:type="dxa"/>
                  <w:vAlign w:val="center"/>
                </w:tcPr>
                <w:p>
                  <w:pPr>
                    <w:jc w:val="center"/>
                    <w:rPr>
                      <w:sz w:val="21"/>
                      <w:szCs w:val="21"/>
                    </w:rPr>
                  </w:pPr>
                  <w:r>
                    <w:rPr>
                      <w:rFonts w:hint="eastAsia"/>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539" w:type="dxa"/>
                  <w:vAlign w:val="center"/>
                </w:tcPr>
                <w:p>
                  <w:pPr>
                    <w:jc w:val="center"/>
                    <w:rPr>
                      <w:rFonts w:hint="eastAsia"/>
                      <w:sz w:val="21"/>
                      <w:szCs w:val="21"/>
                    </w:rPr>
                  </w:pPr>
                  <w:r>
                    <w:rPr>
                      <w:rFonts w:hint="eastAsia"/>
                      <w:sz w:val="21"/>
                      <w:szCs w:val="21"/>
                    </w:rPr>
                    <w:t>4</w:t>
                  </w:r>
                </w:p>
              </w:tc>
              <w:tc>
                <w:tcPr>
                  <w:tcW w:w="1239" w:type="dxa"/>
                  <w:vAlign w:val="center"/>
                </w:tcPr>
                <w:p>
                  <w:pPr>
                    <w:adjustRightInd w:val="0"/>
                    <w:snapToGrid w:val="0"/>
                    <w:jc w:val="center"/>
                    <w:rPr>
                      <w:rFonts w:hint="eastAsia"/>
                      <w:kern w:val="0"/>
                      <w:sz w:val="21"/>
                      <w:szCs w:val="21"/>
                    </w:rPr>
                  </w:pPr>
                  <w:r>
                    <w:rPr>
                      <w:rFonts w:hint="eastAsia"/>
                      <w:kern w:val="0"/>
                      <w:sz w:val="21"/>
                      <w:szCs w:val="21"/>
                    </w:rPr>
                    <w:t>空调外机</w:t>
                  </w:r>
                </w:p>
              </w:tc>
              <w:tc>
                <w:tcPr>
                  <w:tcW w:w="677" w:type="dxa"/>
                  <w:vAlign w:val="center"/>
                </w:tcPr>
                <w:p>
                  <w:pPr>
                    <w:jc w:val="center"/>
                    <w:rPr>
                      <w:rFonts w:hint="eastAsia"/>
                      <w:sz w:val="21"/>
                      <w:szCs w:val="21"/>
                    </w:rPr>
                  </w:pPr>
                  <w:r>
                    <w:rPr>
                      <w:rFonts w:hint="eastAsia"/>
                      <w:sz w:val="21"/>
                      <w:szCs w:val="21"/>
                    </w:rPr>
                    <w:t>若干</w:t>
                  </w:r>
                </w:p>
              </w:tc>
              <w:tc>
                <w:tcPr>
                  <w:tcW w:w="983" w:type="dxa"/>
                  <w:vAlign w:val="center"/>
                </w:tcPr>
                <w:p>
                  <w:pPr>
                    <w:adjustRightInd w:val="0"/>
                    <w:snapToGrid w:val="0"/>
                    <w:jc w:val="center"/>
                    <w:rPr>
                      <w:rFonts w:hint="eastAsia"/>
                      <w:sz w:val="21"/>
                      <w:szCs w:val="21"/>
                    </w:rPr>
                  </w:pPr>
                  <w:r>
                    <w:rPr>
                      <w:rFonts w:hint="eastAsia"/>
                      <w:sz w:val="21"/>
                      <w:szCs w:val="21"/>
                    </w:rPr>
                    <w:t>80~85</w:t>
                  </w:r>
                </w:p>
              </w:tc>
              <w:tc>
                <w:tcPr>
                  <w:tcW w:w="981" w:type="dxa"/>
                  <w:vAlign w:val="center"/>
                </w:tcPr>
                <w:p>
                  <w:pPr>
                    <w:adjustRightInd w:val="0"/>
                    <w:snapToGrid w:val="0"/>
                    <w:jc w:val="center"/>
                    <w:rPr>
                      <w:rFonts w:hint="eastAsia"/>
                      <w:sz w:val="21"/>
                      <w:szCs w:val="21"/>
                    </w:rPr>
                  </w:pPr>
                  <w:r>
                    <w:rPr>
                      <w:rFonts w:hint="eastAsia"/>
                      <w:sz w:val="21"/>
                      <w:szCs w:val="21"/>
                    </w:rPr>
                    <w:t>/</w:t>
                  </w:r>
                </w:p>
              </w:tc>
              <w:tc>
                <w:tcPr>
                  <w:tcW w:w="1085" w:type="dxa"/>
                  <w:vAlign w:val="center"/>
                </w:tcPr>
                <w:p>
                  <w:pPr>
                    <w:jc w:val="center"/>
                    <w:rPr>
                      <w:rFonts w:hint="eastAsia"/>
                      <w:sz w:val="21"/>
                      <w:szCs w:val="21"/>
                    </w:rPr>
                  </w:pPr>
                  <w:r>
                    <w:rPr>
                      <w:rFonts w:hint="eastAsia"/>
                      <w:sz w:val="21"/>
                      <w:szCs w:val="21"/>
                    </w:rPr>
                    <w:t>30</w:t>
                  </w:r>
                </w:p>
              </w:tc>
              <w:tc>
                <w:tcPr>
                  <w:tcW w:w="2274" w:type="dxa"/>
                  <w:vAlign w:val="center"/>
                </w:tcPr>
                <w:p>
                  <w:pPr>
                    <w:jc w:val="center"/>
                    <w:rPr>
                      <w:sz w:val="21"/>
                      <w:szCs w:val="21"/>
                    </w:rPr>
                  </w:pPr>
                  <w:r>
                    <w:rPr>
                      <w:sz w:val="21"/>
                      <w:szCs w:val="21"/>
                    </w:rPr>
                    <w:t>减振、定期维护、建筑隔声</w:t>
                  </w:r>
                </w:p>
              </w:tc>
              <w:tc>
                <w:tcPr>
                  <w:tcW w:w="1340" w:type="dxa"/>
                  <w:vAlign w:val="center"/>
                </w:tcPr>
                <w:p>
                  <w:pPr>
                    <w:jc w:val="center"/>
                    <w:rPr>
                      <w:rFonts w:hint="eastAsia"/>
                      <w:sz w:val="21"/>
                      <w:szCs w:val="21"/>
                    </w:rPr>
                  </w:pPr>
                  <w:r>
                    <w:rPr>
                      <w:rFonts w:hint="eastAsia"/>
                      <w:sz w:val="21"/>
                      <w:szCs w:val="21"/>
                    </w:rPr>
                    <w:t>25</w:t>
                  </w:r>
                </w:p>
              </w:tc>
            </w:tr>
          </w:tbl>
          <w:p>
            <w:pPr>
              <w:spacing w:line="440" w:lineRule="exact"/>
              <w:ind w:firstLine="480" w:firstLineChars="200"/>
              <w:rPr>
                <w:sz w:val="24"/>
              </w:rPr>
            </w:pPr>
            <w:bookmarkStart w:id="6" w:name="_Toc141089179"/>
            <w:r>
              <w:rPr>
                <w:sz w:val="24"/>
              </w:rPr>
              <w:t>4、固废</w:t>
            </w:r>
            <w:bookmarkEnd w:id="6"/>
          </w:p>
          <w:p>
            <w:pPr>
              <w:spacing w:line="440" w:lineRule="exact"/>
              <w:ind w:firstLine="480" w:firstLineChars="200"/>
              <w:rPr>
                <w:rFonts w:hint="eastAsia"/>
                <w:sz w:val="24"/>
              </w:rPr>
            </w:pPr>
            <w:r>
              <w:rPr>
                <w:sz w:val="24"/>
              </w:rPr>
              <w:t>本项目产生的固体废物主要有生活垃圾。</w:t>
            </w:r>
          </w:p>
          <w:p>
            <w:pPr>
              <w:snapToGrid w:val="0"/>
              <w:spacing w:line="440" w:lineRule="exact"/>
              <w:ind w:firstLine="480" w:firstLineChars="200"/>
              <w:rPr>
                <w:rFonts w:hint="eastAsia"/>
                <w:sz w:val="24"/>
              </w:rPr>
            </w:pPr>
            <w:r>
              <w:rPr>
                <w:rFonts w:hint="eastAsia"/>
                <w:sz w:val="24"/>
              </w:rPr>
              <w:t>固体产生情况具体见表31</w:t>
            </w:r>
            <w:r>
              <w:rPr>
                <w:sz w:val="24"/>
              </w:rPr>
              <w:t>。</w:t>
            </w:r>
          </w:p>
          <w:p>
            <w:pPr>
              <w:snapToGrid w:val="0"/>
              <w:jc w:val="center"/>
              <w:outlineLvl w:val="0"/>
              <w:rPr>
                <w:sz w:val="24"/>
                <w:szCs w:val="24"/>
              </w:rPr>
            </w:pPr>
            <w:r>
              <w:rPr>
                <w:sz w:val="24"/>
                <w:szCs w:val="24"/>
              </w:rPr>
              <w:t>表</w:t>
            </w:r>
            <w:r>
              <w:rPr>
                <w:rFonts w:hint="eastAsia"/>
                <w:sz w:val="24"/>
                <w:szCs w:val="24"/>
              </w:rPr>
              <w:t xml:space="preserve">31 </w:t>
            </w:r>
            <w:r>
              <w:rPr>
                <w:sz w:val="24"/>
                <w:szCs w:val="24"/>
              </w:rPr>
              <w:t>固废发生及处置情况一览表</w:t>
            </w:r>
          </w:p>
          <w:tbl>
            <w:tblPr>
              <w:tblStyle w:val="34"/>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602"/>
              <w:gridCol w:w="1791"/>
              <w:gridCol w:w="871"/>
              <w:gridCol w:w="643"/>
              <w:gridCol w:w="1647"/>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873" w:type="dxa"/>
                  <w:vAlign w:val="center"/>
                </w:tcPr>
                <w:p>
                  <w:pPr>
                    <w:widowControl/>
                    <w:jc w:val="center"/>
                    <w:rPr>
                      <w:sz w:val="21"/>
                      <w:szCs w:val="21"/>
                    </w:rPr>
                  </w:pPr>
                  <w:r>
                    <w:rPr>
                      <w:sz w:val="21"/>
                      <w:szCs w:val="21"/>
                    </w:rPr>
                    <w:t>编号</w:t>
                  </w:r>
                </w:p>
              </w:tc>
              <w:tc>
                <w:tcPr>
                  <w:tcW w:w="1602" w:type="dxa"/>
                  <w:vAlign w:val="center"/>
                </w:tcPr>
                <w:p>
                  <w:pPr>
                    <w:widowControl/>
                    <w:jc w:val="center"/>
                    <w:rPr>
                      <w:sz w:val="21"/>
                      <w:szCs w:val="21"/>
                    </w:rPr>
                  </w:pPr>
                  <w:r>
                    <w:rPr>
                      <w:sz w:val="21"/>
                      <w:szCs w:val="21"/>
                    </w:rPr>
                    <w:t>名称</w:t>
                  </w:r>
                </w:p>
              </w:tc>
              <w:tc>
                <w:tcPr>
                  <w:tcW w:w="1791" w:type="dxa"/>
                  <w:vAlign w:val="center"/>
                </w:tcPr>
                <w:p>
                  <w:pPr>
                    <w:widowControl/>
                    <w:jc w:val="center"/>
                    <w:rPr>
                      <w:sz w:val="21"/>
                      <w:szCs w:val="21"/>
                    </w:rPr>
                  </w:pPr>
                  <w:r>
                    <w:rPr>
                      <w:sz w:val="21"/>
                      <w:szCs w:val="21"/>
                    </w:rPr>
                    <w:t>分类编号</w:t>
                  </w:r>
                </w:p>
              </w:tc>
              <w:tc>
                <w:tcPr>
                  <w:tcW w:w="871" w:type="dxa"/>
                  <w:vAlign w:val="center"/>
                </w:tcPr>
                <w:p>
                  <w:pPr>
                    <w:widowControl/>
                    <w:jc w:val="center"/>
                    <w:rPr>
                      <w:sz w:val="21"/>
                      <w:szCs w:val="21"/>
                    </w:rPr>
                  </w:pPr>
                  <w:r>
                    <w:rPr>
                      <w:sz w:val="21"/>
                      <w:szCs w:val="21"/>
                    </w:rPr>
                    <w:t>产生量</w:t>
                  </w:r>
                </w:p>
                <w:p>
                  <w:pPr>
                    <w:widowControl/>
                    <w:jc w:val="center"/>
                    <w:rPr>
                      <w:sz w:val="21"/>
                      <w:szCs w:val="21"/>
                    </w:rPr>
                  </w:pPr>
                  <w:r>
                    <w:rPr>
                      <w:sz w:val="21"/>
                      <w:szCs w:val="21"/>
                    </w:rPr>
                    <w:t>（t/a）</w:t>
                  </w:r>
                </w:p>
              </w:tc>
              <w:tc>
                <w:tcPr>
                  <w:tcW w:w="643" w:type="dxa"/>
                  <w:vAlign w:val="center"/>
                </w:tcPr>
                <w:p>
                  <w:pPr>
                    <w:widowControl/>
                    <w:jc w:val="center"/>
                    <w:rPr>
                      <w:sz w:val="21"/>
                      <w:szCs w:val="21"/>
                    </w:rPr>
                  </w:pPr>
                  <w:r>
                    <w:rPr>
                      <w:sz w:val="21"/>
                      <w:szCs w:val="21"/>
                    </w:rPr>
                    <w:t>性状</w:t>
                  </w:r>
                </w:p>
              </w:tc>
              <w:tc>
                <w:tcPr>
                  <w:tcW w:w="1647" w:type="dxa"/>
                  <w:vAlign w:val="center"/>
                </w:tcPr>
                <w:p>
                  <w:pPr>
                    <w:widowControl/>
                    <w:jc w:val="center"/>
                    <w:rPr>
                      <w:sz w:val="21"/>
                      <w:szCs w:val="21"/>
                    </w:rPr>
                  </w:pPr>
                  <w:r>
                    <w:rPr>
                      <w:sz w:val="21"/>
                      <w:szCs w:val="21"/>
                    </w:rPr>
                    <w:t>综合利用方式及其数量（t/a）</w:t>
                  </w:r>
                </w:p>
              </w:tc>
              <w:tc>
                <w:tcPr>
                  <w:tcW w:w="1692" w:type="dxa"/>
                  <w:vAlign w:val="center"/>
                </w:tcPr>
                <w:p>
                  <w:pPr>
                    <w:widowControl/>
                    <w:jc w:val="center"/>
                    <w:rPr>
                      <w:sz w:val="21"/>
                      <w:szCs w:val="21"/>
                    </w:rPr>
                  </w:pPr>
                  <w:r>
                    <w:rPr>
                      <w:sz w:val="21"/>
                      <w:szCs w:val="21"/>
                    </w:rPr>
                    <w:t>处理处置方式及其数量（t/a）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873" w:type="dxa"/>
                  <w:vAlign w:val="center"/>
                </w:tcPr>
                <w:p>
                  <w:pPr>
                    <w:jc w:val="center"/>
                    <w:rPr>
                      <w:rFonts w:hint="eastAsia"/>
                      <w:sz w:val="21"/>
                      <w:szCs w:val="21"/>
                    </w:rPr>
                  </w:pPr>
                  <w:r>
                    <w:rPr>
                      <w:rFonts w:hint="eastAsia"/>
                      <w:sz w:val="21"/>
                      <w:szCs w:val="21"/>
                    </w:rPr>
                    <w:t>1</w:t>
                  </w:r>
                </w:p>
              </w:tc>
              <w:tc>
                <w:tcPr>
                  <w:tcW w:w="1602" w:type="dxa"/>
                  <w:vAlign w:val="center"/>
                </w:tcPr>
                <w:p>
                  <w:pPr>
                    <w:jc w:val="center"/>
                    <w:rPr>
                      <w:sz w:val="21"/>
                      <w:szCs w:val="21"/>
                    </w:rPr>
                  </w:pPr>
                  <w:r>
                    <w:rPr>
                      <w:rFonts w:hAnsi="宋体"/>
                      <w:sz w:val="21"/>
                      <w:szCs w:val="21"/>
                    </w:rPr>
                    <w:t>生活垃圾</w:t>
                  </w:r>
                </w:p>
              </w:tc>
              <w:tc>
                <w:tcPr>
                  <w:tcW w:w="1791" w:type="dxa"/>
                  <w:vAlign w:val="center"/>
                </w:tcPr>
                <w:p>
                  <w:pPr>
                    <w:jc w:val="center"/>
                    <w:rPr>
                      <w:sz w:val="21"/>
                      <w:szCs w:val="21"/>
                    </w:rPr>
                  </w:pPr>
                  <w:r>
                    <w:rPr>
                      <w:sz w:val="21"/>
                      <w:szCs w:val="21"/>
                    </w:rPr>
                    <w:t>99</w:t>
                  </w:r>
                </w:p>
              </w:tc>
              <w:tc>
                <w:tcPr>
                  <w:tcW w:w="871" w:type="dxa"/>
                  <w:vAlign w:val="center"/>
                </w:tcPr>
                <w:p>
                  <w:pPr>
                    <w:jc w:val="center"/>
                    <w:rPr>
                      <w:rFonts w:hint="eastAsia"/>
                      <w:sz w:val="21"/>
                      <w:szCs w:val="21"/>
                    </w:rPr>
                  </w:pPr>
                  <w:r>
                    <w:rPr>
                      <w:rFonts w:hint="eastAsia"/>
                      <w:sz w:val="21"/>
                      <w:szCs w:val="21"/>
                    </w:rPr>
                    <w:t>4.5</w:t>
                  </w:r>
                </w:p>
              </w:tc>
              <w:tc>
                <w:tcPr>
                  <w:tcW w:w="643" w:type="dxa"/>
                  <w:vAlign w:val="center"/>
                </w:tcPr>
                <w:p>
                  <w:pPr>
                    <w:jc w:val="center"/>
                    <w:rPr>
                      <w:sz w:val="21"/>
                      <w:szCs w:val="21"/>
                    </w:rPr>
                  </w:pPr>
                  <w:r>
                    <w:rPr>
                      <w:rFonts w:hAnsi="宋体"/>
                      <w:sz w:val="21"/>
                      <w:szCs w:val="21"/>
                    </w:rPr>
                    <w:t>固体</w:t>
                  </w:r>
                </w:p>
              </w:tc>
              <w:tc>
                <w:tcPr>
                  <w:tcW w:w="1647" w:type="dxa"/>
                  <w:vAlign w:val="center"/>
                </w:tcPr>
                <w:p>
                  <w:pPr>
                    <w:jc w:val="center"/>
                    <w:rPr>
                      <w:sz w:val="21"/>
                      <w:szCs w:val="21"/>
                    </w:rPr>
                  </w:pPr>
                  <w:r>
                    <w:rPr>
                      <w:sz w:val="21"/>
                      <w:szCs w:val="21"/>
                    </w:rPr>
                    <w:t>-</w:t>
                  </w:r>
                </w:p>
              </w:tc>
              <w:tc>
                <w:tcPr>
                  <w:tcW w:w="1692" w:type="dxa"/>
                  <w:vAlign w:val="center"/>
                </w:tcPr>
                <w:p>
                  <w:pPr>
                    <w:jc w:val="center"/>
                    <w:rPr>
                      <w:sz w:val="21"/>
                      <w:szCs w:val="21"/>
                    </w:rPr>
                  </w:pPr>
                  <w:r>
                    <w:rPr>
                      <w:rFonts w:hAnsi="宋体"/>
                      <w:sz w:val="21"/>
                      <w:szCs w:val="21"/>
                    </w:rPr>
                    <w:t>环卫清运</w:t>
                  </w:r>
                  <w:r>
                    <w:rPr>
                      <w:rFonts w:hint="eastAsia" w:hAnsi="宋体"/>
                      <w:sz w:val="21"/>
                      <w:szCs w:val="21"/>
                    </w:rPr>
                    <w:t>,</w:t>
                  </w:r>
                  <w:r>
                    <w:t xml:space="preserve"> </w:t>
                  </w:r>
                  <w:r>
                    <w:rPr>
                      <w:rFonts w:hint="eastAsia" w:hAnsi="宋体"/>
                      <w:sz w:val="21"/>
                      <w:szCs w:val="21"/>
                    </w:rPr>
                    <w:t>4.5</w:t>
                  </w:r>
                </w:p>
              </w:tc>
            </w:tr>
          </w:tbl>
          <w:p>
            <w:pPr>
              <w:adjustRightInd w:val="0"/>
              <w:snapToGrid w:val="0"/>
              <w:spacing w:line="360" w:lineRule="auto"/>
              <w:jc w:val="center"/>
              <w:rPr>
                <w:rFonts w:hint="eastAsia" w:hAnsi="宋体"/>
                <w:b/>
                <w:sz w:val="24"/>
              </w:rPr>
            </w:pPr>
          </w:p>
          <w:p>
            <w:pPr>
              <w:snapToGrid w:val="0"/>
              <w:spacing w:line="440" w:lineRule="exact"/>
              <w:ind w:firstLine="480" w:firstLineChars="200"/>
              <w:rPr>
                <w:rFonts w:hint="eastAsia"/>
                <w:sz w:val="24"/>
                <w:szCs w:val="24"/>
              </w:rPr>
            </w:pPr>
          </w:p>
          <w:p>
            <w:pPr>
              <w:snapToGrid w:val="0"/>
              <w:spacing w:line="440" w:lineRule="exact"/>
              <w:ind w:firstLine="480" w:firstLineChars="200"/>
              <w:rPr>
                <w:rFonts w:hint="eastAsia"/>
                <w:sz w:val="24"/>
                <w:szCs w:val="24"/>
              </w:rPr>
            </w:pPr>
          </w:p>
          <w:p>
            <w:pPr>
              <w:snapToGrid w:val="0"/>
              <w:spacing w:line="440" w:lineRule="exact"/>
              <w:ind w:firstLine="480" w:firstLineChars="200"/>
              <w:rPr>
                <w:rFonts w:hint="eastAsia"/>
                <w:sz w:val="24"/>
                <w:szCs w:val="24"/>
              </w:rPr>
            </w:pPr>
          </w:p>
          <w:p>
            <w:pPr>
              <w:snapToGrid w:val="0"/>
              <w:spacing w:line="440" w:lineRule="exact"/>
              <w:rPr>
                <w:rFonts w:hint="eastAsia"/>
                <w:sz w:val="24"/>
                <w:szCs w:val="24"/>
              </w:rPr>
            </w:pPr>
          </w:p>
          <w:p>
            <w:pPr>
              <w:snapToGrid w:val="0"/>
              <w:spacing w:line="440" w:lineRule="exact"/>
              <w:rPr>
                <w:rFonts w:hint="eastAsia"/>
                <w:sz w:val="24"/>
                <w:szCs w:val="24"/>
              </w:rPr>
            </w:pPr>
          </w:p>
          <w:p>
            <w:pPr>
              <w:snapToGrid w:val="0"/>
              <w:spacing w:line="440" w:lineRule="exact"/>
              <w:rPr>
                <w:rFonts w:hint="eastAsia"/>
                <w:sz w:val="24"/>
                <w:szCs w:val="24"/>
              </w:rPr>
            </w:pPr>
          </w:p>
          <w:p>
            <w:pPr>
              <w:snapToGrid w:val="0"/>
              <w:spacing w:line="440" w:lineRule="exact"/>
              <w:rPr>
                <w:rFonts w:hint="eastAsia"/>
                <w:sz w:val="24"/>
                <w:szCs w:val="24"/>
              </w:rPr>
            </w:pPr>
          </w:p>
        </w:tc>
      </w:tr>
    </w:tbl>
    <w:p>
      <w:pPr>
        <w:rPr>
          <w:rFonts w:hint="eastAsia"/>
          <w:b/>
          <w:sz w:val="24"/>
          <w:szCs w:val="24"/>
        </w:rPr>
      </w:pPr>
      <w:r>
        <w:rPr>
          <w:b/>
          <w:szCs w:val="28"/>
        </w:rPr>
        <w:t>六、项目主要污染物产生及预计排放情况</w:t>
      </w:r>
    </w:p>
    <w:tbl>
      <w:tblPr>
        <w:tblStyle w:val="34"/>
        <w:tblW w:w="9571"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22"/>
        <w:gridCol w:w="569"/>
        <w:gridCol w:w="489"/>
        <w:gridCol w:w="1035"/>
        <w:gridCol w:w="1206"/>
        <w:gridCol w:w="11"/>
        <w:gridCol w:w="445"/>
        <w:gridCol w:w="390"/>
        <w:gridCol w:w="97"/>
        <w:gridCol w:w="900"/>
        <w:gridCol w:w="269"/>
        <w:gridCol w:w="98"/>
        <w:gridCol w:w="831"/>
        <w:gridCol w:w="99"/>
        <w:gridCol w:w="722"/>
        <w:gridCol w:w="57"/>
        <w:gridCol w:w="8"/>
        <w:gridCol w:w="419"/>
        <w:gridCol w:w="597"/>
        <w:gridCol w:w="80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4" w:hRule="atLeast"/>
          <w:jc w:val="center"/>
        </w:trPr>
        <w:tc>
          <w:tcPr>
            <w:tcW w:w="522" w:type="dxa"/>
            <w:vAlign w:val="center"/>
          </w:tcPr>
          <w:p>
            <w:pPr>
              <w:snapToGrid w:val="0"/>
              <w:jc w:val="center"/>
              <w:rPr>
                <w:sz w:val="21"/>
                <w:szCs w:val="21"/>
              </w:rPr>
            </w:pPr>
            <w:r>
              <w:rPr>
                <w:sz w:val="21"/>
                <w:szCs w:val="21"/>
              </w:rPr>
              <w:t>种类</w:t>
            </w:r>
          </w:p>
        </w:tc>
        <w:tc>
          <w:tcPr>
            <w:tcW w:w="1058" w:type="dxa"/>
            <w:gridSpan w:val="2"/>
            <w:vAlign w:val="center"/>
          </w:tcPr>
          <w:p>
            <w:pPr>
              <w:snapToGrid w:val="0"/>
              <w:jc w:val="center"/>
              <w:rPr>
                <w:sz w:val="21"/>
                <w:szCs w:val="21"/>
              </w:rPr>
            </w:pPr>
            <w:r>
              <w:rPr>
                <w:sz w:val="21"/>
                <w:szCs w:val="21"/>
              </w:rPr>
              <w:t>排放源</w:t>
            </w:r>
          </w:p>
          <w:p>
            <w:pPr>
              <w:snapToGrid w:val="0"/>
              <w:jc w:val="center"/>
              <w:rPr>
                <w:sz w:val="21"/>
                <w:szCs w:val="21"/>
              </w:rPr>
            </w:pPr>
            <w:r>
              <w:rPr>
                <w:sz w:val="21"/>
                <w:szCs w:val="21"/>
              </w:rPr>
              <w:t>（编号）</w:t>
            </w:r>
          </w:p>
        </w:tc>
        <w:tc>
          <w:tcPr>
            <w:tcW w:w="1035" w:type="dxa"/>
            <w:vAlign w:val="center"/>
          </w:tcPr>
          <w:p>
            <w:pPr>
              <w:snapToGrid w:val="0"/>
              <w:jc w:val="center"/>
              <w:rPr>
                <w:sz w:val="21"/>
                <w:szCs w:val="21"/>
              </w:rPr>
            </w:pPr>
            <w:r>
              <w:rPr>
                <w:sz w:val="21"/>
                <w:szCs w:val="21"/>
              </w:rPr>
              <w:t>污染物名称</w:t>
            </w:r>
          </w:p>
        </w:tc>
        <w:tc>
          <w:tcPr>
            <w:tcW w:w="1217" w:type="dxa"/>
            <w:gridSpan w:val="2"/>
            <w:tcBorders>
              <w:right w:val="single" w:color="auto" w:sz="4" w:space="0"/>
            </w:tcBorders>
            <w:vAlign w:val="center"/>
          </w:tcPr>
          <w:p>
            <w:pPr>
              <w:snapToGrid w:val="0"/>
              <w:jc w:val="center"/>
              <w:rPr>
                <w:sz w:val="21"/>
                <w:szCs w:val="21"/>
              </w:rPr>
            </w:pPr>
            <w:r>
              <w:rPr>
                <w:sz w:val="21"/>
                <w:szCs w:val="21"/>
              </w:rPr>
              <w:t>产生浓度mg/m</w:t>
            </w:r>
            <w:r>
              <w:rPr>
                <w:sz w:val="21"/>
                <w:szCs w:val="21"/>
                <w:vertAlign w:val="superscript"/>
              </w:rPr>
              <w:t>3</w:t>
            </w:r>
          </w:p>
        </w:tc>
        <w:tc>
          <w:tcPr>
            <w:tcW w:w="835" w:type="dxa"/>
            <w:gridSpan w:val="2"/>
            <w:tcBorders>
              <w:left w:val="single" w:color="auto" w:sz="4" w:space="0"/>
            </w:tcBorders>
            <w:vAlign w:val="center"/>
          </w:tcPr>
          <w:p>
            <w:pPr>
              <w:snapToGrid w:val="0"/>
              <w:jc w:val="center"/>
              <w:rPr>
                <w:sz w:val="21"/>
                <w:szCs w:val="21"/>
              </w:rPr>
            </w:pPr>
            <w:r>
              <w:rPr>
                <w:rFonts w:hint="eastAsia"/>
                <w:sz w:val="21"/>
                <w:szCs w:val="21"/>
              </w:rPr>
              <w:t>产生</w:t>
            </w:r>
            <w:r>
              <w:rPr>
                <w:sz w:val="21"/>
                <w:szCs w:val="21"/>
              </w:rPr>
              <w:t>速率kg/h</w:t>
            </w:r>
          </w:p>
        </w:tc>
        <w:tc>
          <w:tcPr>
            <w:tcW w:w="1266" w:type="dxa"/>
            <w:gridSpan w:val="3"/>
            <w:vAlign w:val="center"/>
          </w:tcPr>
          <w:p>
            <w:pPr>
              <w:snapToGrid w:val="0"/>
              <w:jc w:val="center"/>
              <w:rPr>
                <w:sz w:val="21"/>
                <w:szCs w:val="21"/>
              </w:rPr>
            </w:pPr>
            <w:r>
              <w:rPr>
                <w:sz w:val="21"/>
                <w:szCs w:val="21"/>
              </w:rPr>
              <w:t>产生量</w:t>
            </w:r>
          </w:p>
          <w:p>
            <w:pPr>
              <w:snapToGrid w:val="0"/>
              <w:jc w:val="center"/>
              <w:rPr>
                <w:sz w:val="21"/>
                <w:szCs w:val="21"/>
              </w:rPr>
            </w:pPr>
            <w:r>
              <w:rPr>
                <w:sz w:val="21"/>
                <w:szCs w:val="21"/>
              </w:rPr>
              <w:t>t/a</w:t>
            </w:r>
          </w:p>
        </w:tc>
        <w:tc>
          <w:tcPr>
            <w:tcW w:w="929" w:type="dxa"/>
            <w:gridSpan w:val="2"/>
            <w:vAlign w:val="center"/>
          </w:tcPr>
          <w:p>
            <w:pPr>
              <w:snapToGrid w:val="0"/>
              <w:jc w:val="center"/>
              <w:rPr>
                <w:sz w:val="21"/>
                <w:szCs w:val="21"/>
              </w:rPr>
            </w:pPr>
            <w:r>
              <w:rPr>
                <w:sz w:val="21"/>
                <w:szCs w:val="21"/>
              </w:rPr>
              <w:t>排放浓度mg/m</w:t>
            </w:r>
            <w:r>
              <w:rPr>
                <w:sz w:val="21"/>
                <w:szCs w:val="21"/>
                <w:vertAlign w:val="superscript"/>
              </w:rPr>
              <w:t>3</w:t>
            </w:r>
          </w:p>
        </w:tc>
        <w:tc>
          <w:tcPr>
            <w:tcW w:w="821" w:type="dxa"/>
            <w:gridSpan w:val="2"/>
            <w:vAlign w:val="center"/>
          </w:tcPr>
          <w:p>
            <w:pPr>
              <w:snapToGrid w:val="0"/>
              <w:jc w:val="center"/>
              <w:rPr>
                <w:sz w:val="21"/>
                <w:szCs w:val="21"/>
              </w:rPr>
            </w:pPr>
            <w:r>
              <w:rPr>
                <w:sz w:val="21"/>
                <w:szCs w:val="21"/>
              </w:rPr>
              <w:t>排放速率kg/h</w:t>
            </w:r>
          </w:p>
        </w:tc>
        <w:tc>
          <w:tcPr>
            <w:tcW w:w="1081" w:type="dxa"/>
            <w:gridSpan w:val="4"/>
            <w:vAlign w:val="center"/>
          </w:tcPr>
          <w:p>
            <w:pPr>
              <w:snapToGrid w:val="0"/>
              <w:jc w:val="center"/>
              <w:rPr>
                <w:sz w:val="21"/>
                <w:szCs w:val="21"/>
              </w:rPr>
            </w:pPr>
            <w:r>
              <w:rPr>
                <w:sz w:val="21"/>
                <w:szCs w:val="21"/>
              </w:rPr>
              <w:t>排放量</w:t>
            </w:r>
          </w:p>
          <w:p>
            <w:pPr>
              <w:snapToGrid w:val="0"/>
              <w:jc w:val="center"/>
              <w:rPr>
                <w:sz w:val="21"/>
                <w:szCs w:val="21"/>
              </w:rPr>
            </w:pPr>
            <w:r>
              <w:rPr>
                <w:sz w:val="21"/>
                <w:szCs w:val="21"/>
              </w:rPr>
              <w:t>t/a</w:t>
            </w:r>
          </w:p>
        </w:tc>
        <w:tc>
          <w:tcPr>
            <w:tcW w:w="807" w:type="dxa"/>
            <w:vAlign w:val="center"/>
          </w:tcPr>
          <w:p>
            <w:pPr>
              <w:snapToGrid w:val="0"/>
              <w:jc w:val="center"/>
              <w:rPr>
                <w:sz w:val="21"/>
                <w:szCs w:val="21"/>
              </w:rPr>
            </w:pPr>
            <w:r>
              <w:rPr>
                <w:sz w:val="21"/>
                <w:szCs w:val="21"/>
              </w:rPr>
              <w:t>排放</w:t>
            </w:r>
          </w:p>
          <w:p>
            <w:pPr>
              <w:snapToGrid w:val="0"/>
              <w:jc w:val="center"/>
              <w:rPr>
                <w:sz w:val="21"/>
                <w:szCs w:val="21"/>
              </w:rPr>
            </w:pPr>
            <w:r>
              <w:rPr>
                <w:sz w:val="21"/>
                <w:szCs w:val="21"/>
              </w:rPr>
              <w:t>去向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215" w:hRule="atLeast"/>
          <w:jc w:val="center"/>
        </w:trPr>
        <w:tc>
          <w:tcPr>
            <w:tcW w:w="522" w:type="dxa"/>
            <w:vAlign w:val="center"/>
          </w:tcPr>
          <w:p>
            <w:pPr>
              <w:snapToGrid w:val="0"/>
              <w:jc w:val="center"/>
              <w:rPr>
                <w:rFonts w:hint="eastAsia"/>
                <w:sz w:val="21"/>
                <w:szCs w:val="21"/>
              </w:rPr>
            </w:pPr>
            <w:r>
              <w:rPr>
                <w:rFonts w:hint="eastAsia"/>
                <w:sz w:val="21"/>
                <w:szCs w:val="21"/>
              </w:rPr>
              <w:t>大气</w:t>
            </w:r>
          </w:p>
        </w:tc>
        <w:tc>
          <w:tcPr>
            <w:tcW w:w="1058" w:type="dxa"/>
            <w:gridSpan w:val="2"/>
            <w:vAlign w:val="center"/>
          </w:tcPr>
          <w:p>
            <w:pPr>
              <w:snapToGrid w:val="0"/>
              <w:jc w:val="center"/>
              <w:rPr>
                <w:rFonts w:hint="eastAsia"/>
                <w:kern w:val="0"/>
                <w:sz w:val="21"/>
                <w:szCs w:val="21"/>
              </w:rPr>
            </w:pPr>
            <w:r>
              <w:rPr>
                <w:rFonts w:hint="eastAsia"/>
                <w:kern w:val="0"/>
                <w:sz w:val="21"/>
                <w:szCs w:val="21"/>
              </w:rPr>
              <w:t xml:space="preserve">车辆机械 </w:t>
            </w:r>
          </w:p>
        </w:tc>
        <w:tc>
          <w:tcPr>
            <w:tcW w:w="1035" w:type="dxa"/>
            <w:tcBorders>
              <w:top w:val="single" w:color="auto" w:sz="4" w:space="0"/>
              <w:bottom w:val="single" w:color="auto" w:sz="4" w:space="0"/>
            </w:tcBorders>
            <w:vAlign w:val="center"/>
          </w:tcPr>
          <w:p>
            <w:pPr>
              <w:adjustRightInd w:val="0"/>
              <w:snapToGrid w:val="0"/>
              <w:jc w:val="center"/>
              <w:rPr>
                <w:rFonts w:hint="eastAsia"/>
                <w:sz w:val="21"/>
                <w:szCs w:val="21"/>
              </w:rPr>
            </w:pPr>
            <w:r>
              <w:rPr>
                <w:rFonts w:hint="eastAsia"/>
                <w:sz w:val="21"/>
                <w:szCs w:val="21"/>
              </w:rPr>
              <w:t>粉尘</w:t>
            </w:r>
          </w:p>
        </w:tc>
        <w:tc>
          <w:tcPr>
            <w:tcW w:w="1217" w:type="dxa"/>
            <w:gridSpan w:val="2"/>
            <w:tcBorders>
              <w:top w:val="single" w:color="auto" w:sz="4" w:space="0"/>
              <w:bottom w:val="single" w:color="auto" w:sz="4" w:space="0"/>
              <w:right w:val="single" w:color="auto" w:sz="4" w:space="0"/>
            </w:tcBorders>
            <w:vAlign w:val="center"/>
          </w:tcPr>
          <w:p>
            <w:pPr>
              <w:adjustRightInd w:val="0"/>
              <w:snapToGrid w:val="0"/>
              <w:jc w:val="center"/>
              <w:rPr>
                <w:rFonts w:hint="eastAsia"/>
                <w:sz w:val="21"/>
                <w:szCs w:val="21"/>
              </w:rPr>
            </w:pPr>
            <w:r>
              <w:rPr>
                <w:rFonts w:hint="eastAsia"/>
                <w:sz w:val="21"/>
                <w:szCs w:val="21"/>
              </w:rPr>
              <w:t>/</w:t>
            </w:r>
          </w:p>
        </w:tc>
        <w:tc>
          <w:tcPr>
            <w:tcW w:w="835" w:type="dxa"/>
            <w:gridSpan w:val="2"/>
            <w:tcBorders>
              <w:top w:val="single" w:color="auto" w:sz="4" w:space="0"/>
              <w:left w:val="single" w:color="auto" w:sz="4" w:space="0"/>
              <w:bottom w:val="single" w:color="auto" w:sz="4" w:space="0"/>
            </w:tcBorders>
            <w:vAlign w:val="center"/>
          </w:tcPr>
          <w:p>
            <w:pPr>
              <w:adjustRightInd w:val="0"/>
              <w:snapToGrid w:val="0"/>
              <w:jc w:val="center"/>
              <w:rPr>
                <w:rFonts w:hint="eastAsia"/>
                <w:sz w:val="21"/>
                <w:szCs w:val="21"/>
              </w:rPr>
            </w:pPr>
            <w:r>
              <w:rPr>
                <w:rFonts w:hint="eastAsia"/>
                <w:sz w:val="21"/>
                <w:szCs w:val="21"/>
              </w:rPr>
              <w:t>/</w:t>
            </w:r>
          </w:p>
        </w:tc>
        <w:tc>
          <w:tcPr>
            <w:tcW w:w="1266" w:type="dxa"/>
            <w:gridSpan w:val="3"/>
            <w:tcBorders>
              <w:top w:val="single" w:color="auto" w:sz="4" w:space="0"/>
              <w:bottom w:val="single" w:color="auto" w:sz="4" w:space="0"/>
            </w:tcBorders>
            <w:vAlign w:val="center"/>
          </w:tcPr>
          <w:p>
            <w:pPr>
              <w:adjustRightInd w:val="0"/>
              <w:snapToGrid w:val="0"/>
              <w:jc w:val="center"/>
              <w:rPr>
                <w:rFonts w:hint="eastAsia"/>
                <w:sz w:val="21"/>
                <w:szCs w:val="21"/>
              </w:rPr>
            </w:pPr>
            <w:r>
              <w:rPr>
                <w:rFonts w:hint="eastAsia"/>
                <w:sz w:val="21"/>
                <w:szCs w:val="21"/>
              </w:rPr>
              <w:t>少量</w:t>
            </w:r>
          </w:p>
        </w:tc>
        <w:tc>
          <w:tcPr>
            <w:tcW w:w="929" w:type="dxa"/>
            <w:gridSpan w:val="2"/>
            <w:tcBorders>
              <w:top w:val="single" w:color="auto" w:sz="4" w:space="0"/>
              <w:bottom w:val="single" w:color="auto" w:sz="4" w:space="0"/>
            </w:tcBorders>
            <w:vAlign w:val="center"/>
          </w:tcPr>
          <w:p>
            <w:pPr>
              <w:adjustRightInd w:val="0"/>
              <w:snapToGrid w:val="0"/>
              <w:jc w:val="center"/>
              <w:rPr>
                <w:rFonts w:hint="eastAsia"/>
                <w:sz w:val="21"/>
                <w:szCs w:val="21"/>
              </w:rPr>
            </w:pPr>
            <w:r>
              <w:rPr>
                <w:rFonts w:hint="eastAsia"/>
                <w:sz w:val="21"/>
                <w:szCs w:val="21"/>
              </w:rPr>
              <w:t>/</w:t>
            </w:r>
          </w:p>
        </w:tc>
        <w:tc>
          <w:tcPr>
            <w:tcW w:w="821" w:type="dxa"/>
            <w:gridSpan w:val="2"/>
            <w:tcBorders>
              <w:top w:val="single" w:color="auto" w:sz="4" w:space="0"/>
              <w:bottom w:val="single" w:color="auto" w:sz="4" w:space="0"/>
            </w:tcBorders>
            <w:vAlign w:val="center"/>
          </w:tcPr>
          <w:p>
            <w:pPr>
              <w:adjustRightInd w:val="0"/>
              <w:snapToGrid w:val="0"/>
              <w:jc w:val="center"/>
              <w:rPr>
                <w:rFonts w:hint="eastAsia"/>
                <w:sz w:val="21"/>
                <w:szCs w:val="21"/>
              </w:rPr>
            </w:pPr>
            <w:r>
              <w:rPr>
                <w:rFonts w:hint="eastAsia"/>
                <w:sz w:val="21"/>
                <w:szCs w:val="21"/>
              </w:rPr>
              <w:t>/</w:t>
            </w:r>
          </w:p>
        </w:tc>
        <w:tc>
          <w:tcPr>
            <w:tcW w:w="1081" w:type="dxa"/>
            <w:gridSpan w:val="4"/>
            <w:tcBorders>
              <w:top w:val="single" w:color="auto" w:sz="4" w:space="0"/>
              <w:bottom w:val="single" w:color="auto" w:sz="4" w:space="0"/>
            </w:tcBorders>
            <w:vAlign w:val="center"/>
          </w:tcPr>
          <w:p>
            <w:pPr>
              <w:adjustRightInd w:val="0"/>
              <w:snapToGrid w:val="0"/>
              <w:jc w:val="center"/>
              <w:rPr>
                <w:rFonts w:hint="eastAsia"/>
                <w:sz w:val="21"/>
                <w:szCs w:val="21"/>
              </w:rPr>
            </w:pPr>
            <w:r>
              <w:rPr>
                <w:rFonts w:hint="eastAsia"/>
                <w:sz w:val="21"/>
                <w:szCs w:val="21"/>
              </w:rPr>
              <w:t>少量</w:t>
            </w:r>
          </w:p>
        </w:tc>
        <w:tc>
          <w:tcPr>
            <w:tcW w:w="807" w:type="dxa"/>
            <w:vAlign w:val="center"/>
          </w:tcPr>
          <w:p>
            <w:pPr>
              <w:snapToGrid w:val="0"/>
              <w:jc w:val="center"/>
              <w:rPr>
                <w:rFonts w:hint="eastAsia"/>
                <w:sz w:val="21"/>
                <w:szCs w:val="21"/>
              </w:rPr>
            </w:pPr>
            <w:r>
              <w:rPr>
                <w:rFonts w:hint="eastAsia"/>
                <w:sz w:val="21"/>
                <w:szCs w:val="21"/>
              </w:rPr>
              <w:t>大气</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34" w:hRule="atLeast"/>
          <w:jc w:val="center"/>
        </w:trPr>
        <w:tc>
          <w:tcPr>
            <w:tcW w:w="522" w:type="dxa"/>
            <w:vMerge w:val="restart"/>
            <w:vAlign w:val="center"/>
          </w:tcPr>
          <w:p>
            <w:pPr>
              <w:snapToGrid w:val="0"/>
              <w:jc w:val="center"/>
              <w:rPr>
                <w:sz w:val="21"/>
                <w:szCs w:val="21"/>
              </w:rPr>
            </w:pPr>
            <w:r>
              <w:rPr>
                <w:sz w:val="21"/>
                <w:szCs w:val="21"/>
              </w:rPr>
              <w:t>种类</w:t>
            </w:r>
          </w:p>
        </w:tc>
        <w:tc>
          <w:tcPr>
            <w:tcW w:w="1058" w:type="dxa"/>
            <w:gridSpan w:val="2"/>
            <w:vMerge w:val="restart"/>
            <w:vAlign w:val="center"/>
          </w:tcPr>
          <w:p>
            <w:pPr>
              <w:adjustRightInd w:val="0"/>
              <w:snapToGrid w:val="0"/>
              <w:jc w:val="center"/>
              <w:rPr>
                <w:sz w:val="21"/>
                <w:szCs w:val="21"/>
              </w:rPr>
            </w:pPr>
            <w:r>
              <w:rPr>
                <w:sz w:val="21"/>
                <w:szCs w:val="21"/>
              </w:rPr>
              <w:t>排放源</w:t>
            </w:r>
          </w:p>
          <w:p>
            <w:pPr>
              <w:snapToGrid w:val="0"/>
              <w:jc w:val="center"/>
              <w:rPr>
                <w:sz w:val="21"/>
                <w:szCs w:val="21"/>
              </w:rPr>
            </w:pPr>
            <w:r>
              <w:rPr>
                <w:sz w:val="21"/>
                <w:szCs w:val="21"/>
              </w:rPr>
              <w:t>（编号）</w:t>
            </w:r>
          </w:p>
        </w:tc>
        <w:tc>
          <w:tcPr>
            <w:tcW w:w="1035" w:type="dxa"/>
            <w:vMerge w:val="restart"/>
            <w:vAlign w:val="center"/>
          </w:tcPr>
          <w:p>
            <w:pPr>
              <w:snapToGrid w:val="0"/>
              <w:jc w:val="center"/>
              <w:rPr>
                <w:sz w:val="21"/>
                <w:szCs w:val="21"/>
              </w:rPr>
            </w:pPr>
            <w:r>
              <w:rPr>
                <w:sz w:val="21"/>
                <w:szCs w:val="21"/>
              </w:rPr>
              <w:t>污染物名称</w:t>
            </w:r>
          </w:p>
        </w:tc>
        <w:tc>
          <w:tcPr>
            <w:tcW w:w="1206" w:type="dxa"/>
            <w:vMerge w:val="restart"/>
            <w:vAlign w:val="center"/>
          </w:tcPr>
          <w:p>
            <w:pPr>
              <w:snapToGrid w:val="0"/>
              <w:jc w:val="center"/>
              <w:rPr>
                <w:rFonts w:hint="eastAsia"/>
                <w:sz w:val="21"/>
                <w:szCs w:val="21"/>
              </w:rPr>
            </w:pPr>
            <w:r>
              <w:rPr>
                <w:sz w:val="21"/>
                <w:szCs w:val="21"/>
              </w:rPr>
              <w:t>废水量</w:t>
            </w:r>
          </w:p>
          <w:p>
            <w:pPr>
              <w:snapToGrid w:val="0"/>
              <w:jc w:val="center"/>
              <w:rPr>
                <w:sz w:val="21"/>
                <w:szCs w:val="21"/>
              </w:rPr>
            </w:pPr>
            <w:r>
              <w:rPr>
                <w:sz w:val="21"/>
                <w:szCs w:val="21"/>
              </w:rPr>
              <w:t>t/a</w:t>
            </w:r>
          </w:p>
        </w:tc>
        <w:tc>
          <w:tcPr>
            <w:tcW w:w="2210" w:type="dxa"/>
            <w:gridSpan w:val="7"/>
            <w:tcBorders>
              <w:bottom w:val="single" w:color="auto" w:sz="4" w:space="0"/>
            </w:tcBorders>
            <w:vAlign w:val="center"/>
          </w:tcPr>
          <w:p>
            <w:pPr>
              <w:snapToGrid w:val="0"/>
              <w:jc w:val="center"/>
              <w:rPr>
                <w:rFonts w:hint="eastAsia"/>
                <w:sz w:val="21"/>
                <w:szCs w:val="21"/>
              </w:rPr>
            </w:pPr>
            <w:r>
              <w:rPr>
                <w:sz w:val="21"/>
                <w:szCs w:val="21"/>
              </w:rPr>
              <w:t>产生</w:t>
            </w:r>
            <w:r>
              <w:rPr>
                <w:rFonts w:hint="eastAsia"/>
                <w:sz w:val="21"/>
                <w:szCs w:val="21"/>
              </w:rPr>
              <w:t>情况</w:t>
            </w:r>
          </w:p>
        </w:tc>
        <w:tc>
          <w:tcPr>
            <w:tcW w:w="831" w:type="dxa"/>
            <w:vMerge w:val="restart"/>
            <w:tcBorders>
              <w:right w:val="single" w:color="auto" w:sz="4" w:space="0"/>
            </w:tcBorders>
            <w:vAlign w:val="center"/>
          </w:tcPr>
          <w:p>
            <w:pPr>
              <w:snapToGrid w:val="0"/>
              <w:jc w:val="center"/>
              <w:rPr>
                <w:rFonts w:hint="eastAsia"/>
                <w:sz w:val="21"/>
                <w:szCs w:val="21"/>
              </w:rPr>
            </w:pPr>
            <w:r>
              <w:rPr>
                <w:rFonts w:hint="eastAsia"/>
                <w:sz w:val="21"/>
                <w:szCs w:val="21"/>
              </w:rPr>
              <w:t>污染防治措施</w:t>
            </w:r>
          </w:p>
        </w:tc>
        <w:tc>
          <w:tcPr>
            <w:tcW w:w="1902" w:type="dxa"/>
            <w:gridSpan w:val="6"/>
            <w:tcBorders>
              <w:left w:val="single" w:color="auto" w:sz="4" w:space="0"/>
              <w:bottom w:val="single" w:color="auto" w:sz="4" w:space="0"/>
            </w:tcBorders>
            <w:vAlign w:val="center"/>
          </w:tcPr>
          <w:p>
            <w:pPr>
              <w:snapToGrid w:val="0"/>
              <w:jc w:val="center"/>
              <w:rPr>
                <w:sz w:val="21"/>
                <w:szCs w:val="21"/>
              </w:rPr>
            </w:pPr>
            <w:r>
              <w:rPr>
                <w:rFonts w:hint="eastAsia"/>
                <w:sz w:val="21"/>
                <w:szCs w:val="21"/>
              </w:rPr>
              <w:t>排放情况</w:t>
            </w:r>
          </w:p>
        </w:tc>
        <w:tc>
          <w:tcPr>
            <w:tcW w:w="807" w:type="dxa"/>
            <w:vMerge w:val="restart"/>
            <w:vAlign w:val="center"/>
          </w:tcPr>
          <w:p>
            <w:pPr>
              <w:snapToGrid w:val="0"/>
              <w:jc w:val="center"/>
              <w:rPr>
                <w:sz w:val="21"/>
                <w:szCs w:val="21"/>
              </w:rPr>
            </w:pPr>
            <w:r>
              <w:rPr>
                <w:sz w:val="21"/>
                <w:szCs w:val="21"/>
              </w:rPr>
              <w:t>排放去向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54" w:hRule="atLeast"/>
          <w:jc w:val="center"/>
        </w:trPr>
        <w:tc>
          <w:tcPr>
            <w:tcW w:w="522" w:type="dxa"/>
            <w:vMerge w:val="continue"/>
            <w:vAlign w:val="center"/>
          </w:tcPr>
          <w:p>
            <w:pPr>
              <w:snapToGrid w:val="0"/>
              <w:jc w:val="center"/>
              <w:rPr>
                <w:sz w:val="21"/>
                <w:szCs w:val="21"/>
              </w:rPr>
            </w:pPr>
          </w:p>
        </w:tc>
        <w:tc>
          <w:tcPr>
            <w:tcW w:w="1058" w:type="dxa"/>
            <w:gridSpan w:val="2"/>
            <w:vMerge w:val="continue"/>
            <w:vAlign w:val="center"/>
          </w:tcPr>
          <w:p>
            <w:pPr>
              <w:adjustRightInd w:val="0"/>
              <w:snapToGrid w:val="0"/>
              <w:jc w:val="center"/>
              <w:rPr>
                <w:sz w:val="21"/>
                <w:szCs w:val="21"/>
              </w:rPr>
            </w:pPr>
          </w:p>
        </w:tc>
        <w:tc>
          <w:tcPr>
            <w:tcW w:w="1035" w:type="dxa"/>
            <w:vMerge w:val="continue"/>
            <w:vAlign w:val="center"/>
          </w:tcPr>
          <w:p>
            <w:pPr>
              <w:snapToGrid w:val="0"/>
              <w:jc w:val="center"/>
              <w:rPr>
                <w:sz w:val="21"/>
                <w:szCs w:val="21"/>
              </w:rPr>
            </w:pPr>
          </w:p>
        </w:tc>
        <w:tc>
          <w:tcPr>
            <w:tcW w:w="1206" w:type="dxa"/>
            <w:vMerge w:val="continue"/>
            <w:vAlign w:val="center"/>
          </w:tcPr>
          <w:p>
            <w:pPr>
              <w:snapToGrid w:val="0"/>
              <w:jc w:val="center"/>
              <w:rPr>
                <w:sz w:val="21"/>
                <w:szCs w:val="21"/>
              </w:rPr>
            </w:pPr>
          </w:p>
        </w:tc>
        <w:tc>
          <w:tcPr>
            <w:tcW w:w="943" w:type="dxa"/>
            <w:gridSpan w:val="4"/>
            <w:tcBorders>
              <w:top w:val="single" w:color="auto" w:sz="4" w:space="0"/>
            </w:tcBorders>
            <w:vAlign w:val="center"/>
          </w:tcPr>
          <w:p>
            <w:pPr>
              <w:snapToGrid w:val="0"/>
              <w:jc w:val="center"/>
              <w:rPr>
                <w:sz w:val="21"/>
                <w:szCs w:val="21"/>
              </w:rPr>
            </w:pPr>
            <w:r>
              <w:rPr>
                <w:sz w:val="21"/>
                <w:szCs w:val="21"/>
              </w:rPr>
              <w:t>浓度mg/L</w:t>
            </w:r>
          </w:p>
        </w:tc>
        <w:tc>
          <w:tcPr>
            <w:tcW w:w="1267" w:type="dxa"/>
            <w:gridSpan w:val="3"/>
            <w:tcBorders>
              <w:top w:val="single" w:color="auto" w:sz="4" w:space="0"/>
            </w:tcBorders>
            <w:vAlign w:val="center"/>
          </w:tcPr>
          <w:p>
            <w:pPr>
              <w:snapToGrid w:val="0"/>
              <w:jc w:val="center"/>
              <w:rPr>
                <w:sz w:val="21"/>
                <w:szCs w:val="21"/>
              </w:rPr>
            </w:pPr>
            <w:r>
              <w:rPr>
                <w:sz w:val="21"/>
                <w:szCs w:val="21"/>
              </w:rPr>
              <w:t>产生量t/a</w:t>
            </w:r>
          </w:p>
        </w:tc>
        <w:tc>
          <w:tcPr>
            <w:tcW w:w="831" w:type="dxa"/>
            <w:vMerge w:val="continue"/>
            <w:tcBorders>
              <w:right w:val="single" w:color="auto" w:sz="4" w:space="0"/>
            </w:tcBorders>
            <w:vAlign w:val="center"/>
          </w:tcPr>
          <w:p>
            <w:pPr>
              <w:snapToGrid w:val="0"/>
              <w:jc w:val="center"/>
              <w:rPr>
                <w:sz w:val="21"/>
                <w:szCs w:val="21"/>
              </w:rPr>
            </w:pPr>
          </w:p>
        </w:tc>
        <w:tc>
          <w:tcPr>
            <w:tcW w:w="878" w:type="dxa"/>
            <w:gridSpan w:val="3"/>
            <w:tcBorders>
              <w:top w:val="single" w:color="auto" w:sz="4" w:space="0"/>
              <w:left w:val="single" w:color="auto" w:sz="4" w:space="0"/>
              <w:right w:val="single" w:color="auto" w:sz="4" w:space="0"/>
            </w:tcBorders>
            <w:vAlign w:val="center"/>
          </w:tcPr>
          <w:p>
            <w:pPr>
              <w:snapToGrid w:val="0"/>
              <w:jc w:val="center"/>
              <w:rPr>
                <w:rFonts w:hint="eastAsia"/>
                <w:sz w:val="21"/>
                <w:szCs w:val="21"/>
              </w:rPr>
            </w:pPr>
            <w:r>
              <w:rPr>
                <w:sz w:val="21"/>
                <w:szCs w:val="21"/>
              </w:rPr>
              <w:t>浓度</w:t>
            </w:r>
          </w:p>
          <w:p>
            <w:pPr>
              <w:snapToGrid w:val="0"/>
              <w:jc w:val="center"/>
              <w:rPr>
                <w:sz w:val="21"/>
                <w:szCs w:val="21"/>
              </w:rPr>
            </w:pPr>
            <w:r>
              <w:rPr>
                <w:sz w:val="21"/>
                <w:szCs w:val="21"/>
              </w:rPr>
              <w:t>mg/L</w:t>
            </w:r>
          </w:p>
        </w:tc>
        <w:tc>
          <w:tcPr>
            <w:tcW w:w="1024" w:type="dxa"/>
            <w:gridSpan w:val="3"/>
            <w:tcBorders>
              <w:top w:val="single" w:color="auto" w:sz="4" w:space="0"/>
              <w:left w:val="single" w:color="auto" w:sz="4" w:space="0"/>
              <w:bottom w:val="single" w:color="auto" w:sz="4" w:space="0"/>
            </w:tcBorders>
            <w:vAlign w:val="center"/>
          </w:tcPr>
          <w:p>
            <w:pPr>
              <w:snapToGrid w:val="0"/>
              <w:jc w:val="center"/>
              <w:rPr>
                <w:sz w:val="21"/>
                <w:szCs w:val="21"/>
              </w:rPr>
            </w:pPr>
            <w:r>
              <w:rPr>
                <w:sz w:val="21"/>
                <w:szCs w:val="21"/>
              </w:rPr>
              <w:t>排放量t/a</w:t>
            </w:r>
          </w:p>
        </w:tc>
        <w:tc>
          <w:tcPr>
            <w:tcW w:w="807" w:type="dxa"/>
            <w:vMerge w:val="continue"/>
            <w:tcBorders>
              <w:bottom w:val="single" w:color="auto" w:sz="4" w:space="0"/>
            </w:tcBorders>
            <w:vAlign w:val="center"/>
          </w:tcPr>
          <w:p>
            <w:pPr>
              <w:snapToGrid w:val="0"/>
              <w:jc w:val="center"/>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4" w:hRule="atLeast"/>
          <w:jc w:val="center"/>
        </w:trPr>
        <w:tc>
          <w:tcPr>
            <w:tcW w:w="522" w:type="dxa"/>
            <w:vMerge w:val="restart"/>
            <w:vAlign w:val="center"/>
          </w:tcPr>
          <w:p>
            <w:pPr>
              <w:snapToGrid w:val="0"/>
              <w:jc w:val="center"/>
              <w:rPr>
                <w:sz w:val="21"/>
                <w:szCs w:val="21"/>
              </w:rPr>
            </w:pPr>
            <w:r>
              <w:rPr>
                <w:sz w:val="21"/>
                <w:szCs w:val="21"/>
              </w:rPr>
              <w:t>废水</w:t>
            </w:r>
          </w:p>
        </w:tc>
        <w:tc>
          <w:tcPr>
            <w:tcW w:w="1058" w:type="dxa"/>
            <w:gridSpan w:val="2"/>
            <w:vMerge w:val="restart"/>
            <w:vAlign w:val="center"/>
          </w:tcPr>
          <w:p>
            <w:pPr>
              <w:widowControl/>
              <w:adjustRightInd w:val="0"/>
              <w:snapToGrid w:val="0"/>
              <w:jc w:val="center"/>
              <w:rPr>
                <w:kern w:val="0"/>
                <w:sz w:val="21"/>
                <w:szCs w:val="21"/>
              </w:rPr>
            </w:pPr>
            <w:r>
              <w:rPr>
                <w:kern w:val="0"/>
                <w:sz w:val="21"/>
                <w:szCs w:val="21"/>
              </w:rPr>
              <w:t>生活污水</w:t>
            </w:r>
          </w:p>
        </w:tc>
        <w:tc>
          <w:tcPr>
            <w:tcW w:w="1035" w:type="dxa"/>
            <w:tcBorders>
              <w:bottom w:val="single" w:color="auto" w:sz="4" w:space="0"/>
            </w:tcBorders>
            <w:vAlign w:val="center"/>
          </w:tcPr>
          <w:p>
            <w:pPr>
              <w:adjustRightInd w:val="0"/>
              <w:snapToGrid w:val="0"/>
              <w:jc w:val="center"/>
              <w:rPr>
                <w:sz w:val="21"/>
                <w:szCs w:val="21"/>
              </w:rPr>
            </w:pPr>
            <w:r>
              <w:rPr>
                <w:sz w:val="21"/>
                <w:szCs w:val="21"/>
              </w:rPr>
              <w:t>COD</w:t>
            </w:r>
          </w:p>
        </w:tc>
        <w:tc>
          <w:tcPr>
            <w:tcW w:w="1206" w:type="dxa"/>
            <w:vMerge w:val="restart"/>
            <w:vAlign w:val="center"/>
          </w:tcPr>
          <w:p>
            <w:pPr>
              <w:adjustRightInd w:val="0"/>
              <w:snapToGrid w:val="0"/>
              <w:jc w:val="center"/>
              <w:rPr>
                <w:rFonts w:hint="eastAsia" w:eastAsia="宋体"/>
                <w:sz w:val="21"/>
                <w:szCs w:val="21"/>
                <w:lang w:eastAsia="zh-CN"/>
              </w:rPr>
            </w:pPr>
            <w:r>
              <w:rPr>
                <w:rFonts w:hint="eastAsia"/>
                <w:kern w:val="0"/>
                <w:sz w:val="21"/>
                <w:szCs w:val="21"/>
                <w:lang w:val="en-US" w:eastAsia="zh-CN"/>
              </w:rPr>
              <w:t>1080</w:t>
            </w:r>
          </w:p>
        </w:tc>
        <w:tc>
          <w:tcPr>
            <w:tcW w:w="943" w:type="dxa"/>
            <w:gridSpan w:val="4"/>
            <w:vAlign w:val="center"/>
          </w:tcPr>
          <w:p>
            <w:pPr>
              <w:jc w:val="center"/>
              <w:rPr>
                <w:rFonts w:hint="eastAsia"/>
                <w:sz w:val="21"/>
                <w:szCs w:val="21"/>
              </w:rPr>
            </w:pPr>
            <w:r>
              <w:rPr>
                <w:rFonts w:hint="eastAsia"/>
                <w:sz w:val="21"/>
                <w:szCs w:val="21"/>
              </w:rPr>
              <w:t>300</w:t>
            </w:r>
          </w:p>
        </w:tc>
        <w:tc>
          <w:tcPr>
            <w:tcW w:w="1267" w:type="dxa"/>
            <w:gridSpan w:val="3"/>
            <w:vAlign w:val="center"/>
          </w:tcPr>
          <w:p>
            <w:pPr>
              <w:jc w:val="center"/>
              <w:rPr>
                <w:rFonts w:hint="eastAsia"/>
                <w:sz w:val="21"/>
                <w:szCs w:val="21"/>
              </w:rPr>
            </w:pPr>
            <w:r>
              <w:rPr>
                <w:rFonts w:hint="eastAsia"/>
                <w:sz w:val="21"/>
                <w:szCs w:val="21"/>
              </w:rPr>
              <w:t>0.33</w:t>
            </w:r>
          </w:p>
        </w:tc>
        <w:tc>
          <w:tcPr>
            <w:tcW w:w="831" w:type="dxa"/>
            <w:vMerge w:val="restart"/>
            <w:tcBorders>
              <w:right w:val="single" w:color="auto" w:sz="4" w:space="0"/>
            </w:tcBorders>
            <w:vAlign w:val="center"/>
          </w:tcPr>
          <w:p>
            <w:pPr>
              <w:widowControl/>
              <w:jc w:val="center"/>
              <w:rPr>
                <w:rFonts w:hint="eastAsia"/>
                <w:sz w:val="21"/>
                <w:szCs w:val="21"/>
              </w:rPr>
            </w:pPr>
            <w:r>
              <w:rPr>
                <w:rFonts w:hint="eastAsia"/>
                <w:sz w:val="21"/>
                <w:szCs w:val="21"/>
              </w:rPr>
              <w:t>化粪池</w:t>
            </w:r>
          </w:p>
        </w:tc>
        <w:tc>
          <w:tcPr>
            <w:tcW w:w="886" w:type="dxa"/>
            <w:gridSpan w:val="4"/>
            <w:tcBorders>
              <w:left w:val="single" w:color="auto" w:sz="4" w:space="0"/>
              <w:bottom w:val="single" w:color="auto" w:sz="4" w:space="0"/>
              <w:right w:val="single" w:color="auto" w:sz="4" w:space="0"/>
            </w:tcBorders>
            <w:vAlign w:val="center"/>
          </w:tcPr>
          <w:p>
            <w:pPr>
              <w:jc w:val="center"/>
              <w:rPr>
                <w:rFonts w:hint="eastAsia"/>
                <w:sz w:val="21"/>
                <w:szCs w:val="21"/>
              </w:rPr>
            </w:pPr>
            <w:r>
              <w:rPr>
                <w:rFonts w:hint="eastAsia"/>
                <w:sz w:val="21"/>
                <w:szCs w:val="21"/>
              </w:rPr>
              <w:t>300</w:t>
            </w:r>
          </w:p>
        </w:tc>
        <w:tc>
          <w:tcPr>
            <w:tcW w:w="1016" w:type="dxa"/>
            <w:gridSpan w:val="2"/>
            <w:tcBorders>
              <w:left w:val="single" w:color="auto" w:sz="4" w:space="0"/>
              <w:bottom w:val="single" w:color="auto" w:sz="4" w:space="0"/>
            </w:tcBorders>
            <w:vAlign w:val="center"/>
          </w:tcPr>
          <w:p>
            <w:pPr>
              <w:jc w:val="center"/>
              <w:rPr>
                <w:rFonts w:hint="eastAsia"/>
                <w:sz w:val="21"/>
                <w:szCs w:val="21"/>
              </w:rPr>
            </w:pPr>
            <w:r>
              <w:rPr>
                <w:rFonts w:hint="eastAsia"/>
                <w:sz w:val="21"/>
                <w:szCs w:val="21"/>
              </w:rPr>
              <w:t>0.33</w:t>
            </w:r>
          </w:p>
        </w:tc>
        <w:tc>
          <w:tcPr>
            <w:tcW w:w="807" w:type="dxa"/>
            <w:vMerge w:val="restart"/>
            <w:vAlign w:val="center"/>
          </w:tcPr>
          <w:p>
            <w:pPr>
              <w:snapToGrid w:val="0"/>
              <w:jc w:val="center"/>
              <w:rPr>
                <w:rFonts w:hint="eastAsia"/>
                <w:sz w:val="21"/>
                <w:szCs w:val="21"/>
              </w:rPr>
            </w:pPr>
            <w:r>
              <w:rPr>
                <w:rFonts w:hint="eastAsia"/>
                <w:sz w:val="21"/>
                <w:szCs w:val="21"/>
              </w:rPr>
              <w:t>开发区污水处理厂集中处理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4" w:hRule="atLeast"/>
          <w:jc w:val="center"/>
        </w:trPr>
        <w:tc>
          <w:tcPr>
            <w:tcW w:w="522" w:type="dxa"/>
            <w:vMerge w:val="continue"/>
            <w:vAlign w:val="center"/>
          </w:tcPr>
          <w:p>
            <w:pPr>
              <w:snapToGrid w:val="0"/>
              <w:jc w:val="center"/>
              <w:rPr>
                <w:sz w:val="21"/>
                <w:szCs w:val="21"/>
              </w:rPr>
            </w:pPr>
          </w:p>
        </w:tc>
        <w:tc>
          <w:tcPr>
            <w:tcW w:w="1058" w:type="dxa"/>
            <w:gridSpan w:val="2"/>
            <w:vMerge w:val="continue"/>
            <w:vAlign w:val="center"/>
          </w:tcPr>
          <w:p>
            <w:pPr>
              <w:widowControl/>
              <w:adjustRightInd w:val="0"/>
              <w:snapToGrid w:val="0"/>
              <w:jc w:val="center"/>
              <w:rPr>
                <w:kern w:val="0"/>
                <w:sz w:val="21"/>
                <w:szCs w:val="21"/>
              </w:rPr>
            </w:pPr>
          </w:p>
        </w:tc>
        <w:tc>
          <w:tcPr>
            <w:tcW w:w="1035" w:type="dxa"/>
            <w:tcBorders>
              <w:bottom w:val="single" w:color="auto" w:sz="4" w:space="0"/>
            </w:tcBorders>
            <w:vAlign w:val="center"/>
          </w:tcPr>
          <w:p>
            <w:pPr>
              <w:adjustRightInd w:val="0"/>
              <w:snapToGrid w:val="0"/>
              <w:jc w:val="center"/>
              <w:rPr>
                <w:sz w:val="21"/>
                <w:szCs w:val="21"/>
              </w:rPr>
            </w:pPr>
            <w:r>
              <w:rPr>
                <w:sz w:val="21"/>
                <w:szCs w:val="21"/>
              </w:rPr>
              <w:t>SS</w:t>
            </w:r>
          </w:p>
        </w:tc>
        <w:tc>
          <w:tcPr>
            <w:tcW w:w="1206" w:type="dxa"/>
            <w:vMerge w:val="continue"/>
            <w:vAlign w:val="center"/>
          </w:tcPr>
          <w:p>
            <w:pPr>
              <w:widowControl/>
              <w:adjustRightInd w:val="0"/>
              <w:snapToGrid w:val="0"/>
              <w:jc w:val="center"/>
              <w:rPr>
                <w:kern w:val="0"/>
                <w:sz w:val="21"/>
                <w:szCs w:val="21"/>
              </w:rPr>
            </w:pPr>
          </w:p>
        </w:tc>
        <w:tc>
          <w:tcPr>
            <w:tcW w:w="943" w:type="dxa"/>
            <w:gridSpan w:val="4"/>
            <w:vAlign w:val="center"/>
          </w:tcPr>
          <w:p>
            <w:pPr>
              <w:jc w:val="center"/>
              <w:rPr>
                <w:rFonts w:hint="eastAsia"/>
                <w:sz w:val="21"/>
                <w:szCs w:val="21"/>
              </w:rPr>
            </w:pPr>
            <w:r>
              <w:rPr>
                <w:rFonts w:hint="eastAsia"/>
                <w:sz w:val="21"/>
                <w:szCs w:val="21"/>
              </w:rPr>
              <w:t>200</w:t>
            </w:r>
          </w:p>
        </w:tc>
        <w:tc>
          <w:tcPr>
            <w:tcW w:w="1267" w:type="dxa"/>
            <w:gridSpan w:val="3"/>
            <w:vAlign w:val="center"/>
          </w:tcPr>
          <w:p>
            <w:pPr>
              <w:jc w:val="center"/>
              <w:rPr>
                <w:rFonts w:hint="eastAsia"/>
                <w:sz w:val="21"/>
                <w:szCs w:val="21"/>
              </w:rPr>
            </w:pPr>
            <w:r>
              <w:rPr>
                <w:rFonts w:hint="eastAsia"/>
                <w:sz w:val="21"/>
                <w:szCs w:val="21"/>
              </w:rPr>
              <w:t>0.3</w:t>
            </w:r>
          </w:p>
        </w:tc>
        <w:tc>
          <w:tcPr>
            <w:tcW w:w="831" w:type="dxa"/>
            <w:vMerge w:val="continue"/>
            <w:tcBorders>
              <w:right w:val="single" w:color="auto" w:sz="4" w:space="0"/>
            </w:tcBorders>
            <w:vAlign w:val="center"/>
          </w:tcPr>
          <w:p>
            <w:pPr>
              <w:adjustRightInd w:val="0"/>
              <w:snapToGrid w:val="0"/>
              <w:jc w:val="center"/>
              <w:rPr>
                <w:kern w:val="0"/>
                <w:sz w:val="21"/>
                <w:szCs w:val="21"/>
              </w:rPr>
            </w:pPr>
          </w:p>
        </w:tc>
        <w:tc>
          <w:tcPr>
            <w:tcW w:w="886"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sz w:val="21"/>
                <w:szCs w:val="21"/>
              </w:rPr>
            </w:pPr>
            <w:r>
              <w:rPr>
                <w:rFonts w:hint="eastAsia"/>
                <w:sz w:val="21"/>
                <w:szCs w:val="21"/>
              </w:rPr>
              <w:t>200</w:t>
            </w:r>
          </w:p>
        </w:tc>
        <w:tc>
          <w:tcPr>
            <w:tcW w:w="1016" w:type="dxa"/>
            <w:gridSpan w:val="2"/>
            <w:tcBorders>
              <w:top w:val="single" w:color="auto" w:sz="4" w:space="0"/>
              <w:left w:val="single" w:color="auto" w:sz="4" w:space="0"/>
              <w:bottom w:val="single" w:color="auto" w:sz="4" w:space="0"/>
            </w:tcBorders>
            <w:vAlign w:val="center"/>
          </w:tcPr>
          <w:p>
            <w:pPr>
              <w:jc w:val="center"/>
              <w:rPr>
                <w:rFonts w:hint="eastAsia"/>
                <w:sz w:val="21"/>
                <w:szCs w:val="21"/>
              </w:rPr>
            </w:pPr>
            <w:r>
              <w:rPr>
                <w:rFonts w:hint="eastAsia"/>
                <w:sz w:val="21"/>
                <w:szCs w:val="21"/>
              </w:rPr>
              <w:t>0.3</w:t>
            </w:r>
          </w:p>
        </w:tc>
        <w:tc>
          <w:tcPr>
            <w:tcW w:w="807" w:type="dxa"/>
            <w:vMerge w:val="continue"/>
            <w:vAlign w:val="center"/>
          </w:tcPr>
          <w:p>
            <w:pPr>
              <w:snapToGrid w:val="0"/>
              <w:jc w:val="center"/>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4" w:hRule="atLeast"/>
          <w:jc w:val="center"/>
        </w:trPr>
        <w:tc>
          <w:tcPr>
            <w:tcW w:w="522" w:type="dxa"/>
            <w:vMerge w:val="continue"/>
            <w:vAlign w:val="center"/>
          </w:tcPr>
          <w:p>
            <w:pPr>
              <w:snapToGrid w:val="0"/>
              <w:jc w:val="center"/>
              <w:rPr>
                <w:sz w:val="21"/>
                <w:szCs w:val="21"/>
              </w:rPr>
            </w:pPr>
          </w:p>
        </w:tc>
        <w:tc>
          <w:tcPr>
            <w:tcW w:w="1058" w:type="dxa"/>
            <w:gridSpan w:val="2"/>
            <w:vMerge w:val="continue"/>
            <w:vAlign w:val="center"/>
          </w:tcPr>
          <w:p>
            <w:pPr>
              <w:widowControl/>
              <w:adjustRightInd w:val="0"/>
              <w:snapToGrid w:val="0"/>
              <w:jc w:val="center"/>
              <w:rPr>
                <w:kern w:val="0"/>
                <w:sz w:val="21"/>
                <w:szCs w:val="21"/>
              </w:rPr>
            </w:pPr>
          </w:p>
        </w:tc>
        <w:tc>
          <w:tcPr>
            <w:tcW w:w="1035" w:type="dxa"/>
            <w:tcBorders>
              <w:bottom w:val="single" w:color="auto" w:sz="4" w:space="0"/>
            </w:tcBorders>
            <w:vAlign w:val="center"/>
          </w:tcPr>
          <w:p>
            <w:pPr>
              <w:adjustRightInd w:val="0"/>
              <w:snapToGrid w:val="0"/>
              <w:jc w:val="center"/>
              <w:rPr>
                <w:sz w:val="21"/>
                <w:szCs w:val="21"/>
              </w:rPr>
            </w:pPr>
            <w:r>
              <w:rPr>
                <w:sz w:val="21"/>
                <w:szCs w:val="21"/>
              </w:rPr>
              <w:t>NH</w:t>
            </w:r>
            <w:r>
              <w:rPr>
                <w:sz w:val="21"/>
                <w:szCs w:val="21"/>
                <w:vertAlign w:val="subscript"/>
              </w:rPr>
              <w:t>3</w:t>
            </w:r>
            <w:r>
              <w:rPr>
                <w:sz w:val="21"/>
                <w:szCs w:val="21"/>
              </w:rPr>
              <w:t>-N</w:t>
            </w:r>
          </w:p>
        </w:tc>
        <w:tc>
          <w:tcPr>
            <w:tcW w:w="1206" w:type="dxa"/>
            <w:vMerge w:val="continue"/>
            <w:vAlign w:val="center"/>
          </w:tcPr>
          <w:p>
            <w:pPr>
              <w:widowControl/>
              <w:adjustRightInd w:val="0"/>
              <w:snapToGrid w:val="0"/>
              <w:jc w:val="center"/>
              <w:rPr>
                <w:kern w:val="0"/>
                <w:sz w:val="21"/>
                <w:szCs w:val="21"/>
              </w:rPr>
            </w:pPr>
          </w:p>
        </w:tc>
        <w:tc>
          <w:tcPr>
            <w:tcW w:w="943" w:type="dxa"/>
            <w:gridSpan w:val="4"/>
            <w:vAlign w:val="center"/>
          </w:tcPr>
          <w:p>
            <w:pPr>
              <w:jc w:val="center"/>
              <w:rPr>
                <w:sz w:val="21"/>
                <w:szCs w:val="21"/>
              </w:rPr>
            </w:pPr>
            <w:r>
              <w:rPr>
                <w:rFonts w:hint="eastAsia"/>
                <w:sz w:val="21"/>
                <w:szCs w:val="21"/>
              </w:rPr>
              <w:t>25</w:t>
            </w:r>
          </w:p>
        </w:tc>
        <w:tc>
          <w:tcPr>
            <w:tcW w:w="1267" w:type="dxa"/>
            <w:gridSpan w:val="3"/>
            <w:vAlign w:val="center"/>
          </w:tcPr>
          <w:p>
            <w:pPr>
              <w:jc w:val="center"/>
              <w:rPr>
                <w:rFonts w:hint="eastAsia"/>
                <w:sz w:val="21"/>
                <w:szCs w:val="21"/>
              </w:rPr>
            </w:pPr>
            <w:r>
              <w:rPr>
                <w:rFonts w:hint="eastAsia"/>
                <w:sz w:val="21"/>
                <w:szCs w:val="21"/>
              </w:rPr>
              <w:t>0.03</w:t>
            </w:r>
          </w:p>
        </w:tc>
        <w:tc>
          <w:tcPr>
            <w:tcW w:w="831" w:type="dxa"/>
            <w:vMerge w:val="continue"/>
            <w:tcBorders>
              <w:right w:val="single" w:color="auto" w:sz="4" w:space="0"/>
            </w:tcBorders>
            <w:vAlign w:val="center"/>
          </w:tcPr>
          <w:p>
            <w:pPr>
              <w:adjustRightInd w:val="0"/>
              <w:snapToGrid w:val="0"/>
              <w:jc w:val="center"/>
              <w:rPr>
                <w:kern w:val="0"/>
                <w:sz w:val="21"/>
                <w:szCs w:val="21"/>
              </w:rPr>
            </w:pPr>
          </w:p>
        </w:tc>
        <w:tc>
          <w:tcPr>
            <w:tcW w:w="886" w:type="dxa"/>
            <w:gridSpan w:val="4"/>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25</w:t>
            </w:r>
          </w:p>
        </w:tc>
        <w:tc>
          <w:tcPr>
            <w:tcW w:w="1016" w:type="dxa"/>
            <w:gridSpan w:val="2"/>
            <w:tcBorders>
              <w:top w:val="single" w:color="auto" w:sz="4" w:space="0"/>
              <w:left w:val="single" w:color="auto" w:sz="4" w:space="0"/>
              <w:bottom w:val="single" w:color="auto" w:sz="4" w:space="0"/>
            </w:tcBorders>
            <w:vAlign w:val="center"/>
          </w:tcPr>
          <w:p>
            <w:pPr>
              <w:jc w:val="center"/>
              <w:rPr>
                <w:rFonts w:hint="eastAsia"/>
                <w:sz w:val="21"/>
                <w:szCs w:val="21"/>
              </w:rPr>
            </w:pPr>
            <w:r>
              <w:rPr>
                <w:rFonts w:hint="eastAsia"/>
                <w:sz w:val="21"/>
                <w:szCs w:val="21"/>
              </w:rPr>
              <w:t>0.03</w:t>
            </w:r>
          </w:p>
        </w:tc>
        <w:tc>
          <w:tcPr>
            <w:tcW w:w="807" w:type="dxa"/>
            <w:vMerge w:val="continue"/>
            <w:vAlign w:val="center"/>
          </w:tcPr>
          <w:p>
            <w:pPr>
              <w:snapToGrid w:val="0"/>
              <w:jc w:val="center"/>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4" w:hRule="atLeast"/>
          <w:jc w:val="center"/>
        </w:trPr>
        <w:tc>
          <w:tcPr>
            <w:tcW w:w="522" w:type="dxa"/>
            <w:vMerge w:val="continue"/>
            <w:vAlign w:val="center"/>
          </w:tcPr>
          <w:p>
            <w:pPr>
              <w:snapToGrid w:val="0"/>
              <w:jc w:val="center"/>
              <w:rPr>
                <w:sz w:val="21"/>
                <w:szCs w:val="21"/>
              </w:rPr>
            </w:pPr>
          </w:p>
        </w:tc>
        <w:tc>
          <w:tcPr>
            <w:tcW w:w="1058" w:type="dxa"/>
            <w:gridSpan w:val="2"/>
            <w:vMerge w:val="continue"/>
            <w:vAlign w:val="center"/>
          </w:tcPr>
          <w:p>
            <w:pPr>
              <w:widowControl/>
              <w:adjustRightInd w:val="0"/>
              <w:snapToGrid w:val="0"/>
              <w:jc w:val="center"/>
              <w:rPr>
                <w:kern w:val="0"/>
                <w:sz w:val="21"/>
                <w:szCs w:val="21"/>
              </w:rPr>
            </w:pPr>
          </w:p>
        </w:tc>
        <w:tc>
          <w:tcPr>
            <w:tcW w:w="1035" w:type="dxa"/>
            <w:tcBorders>
              <w:bottom w:val="single" w:color="auto" w:sz="4" w:space="0"/>
            </w:tcBorders>
            <w:vAlign w:val="center"/>
          </w:tcPr>
          <w:p>
            <w:pPr>
              <w:adjustRightInd w:val="0"/>
              <w:snapToGrid w:val="0"/>
              <w:jc w:val="center"/>
              <w:rPr>
                <w:rFonts w:hint="eastAsia"/>
                <w:sz w:val="21"/>
                <w:szCs w:val="21"/>
              </w:rPr>
            </w:pPr>
            <w:r>
              <w:rPr>
                <w:sz w:val="21"/>
                <w:szCs w:val="21"/>
              </w:rPr>
              <w:t>TP</w:t>
            </w:r>
          </w:p>
        </w:tc>
        <w:tc>
          <w:tcPr>
            <w:tcW w:w="1206" w:type="dxa"/>
            <w:vMerge w:val="continue"/>
            <w:vAlign w:val="center"/>
          </w:tcPr>
          <w:p>
            <w:pPr>
              <w:widowControl/>
              <w:adjustRightInd w:val="0"/>
              <w:snapToGrid w:val="0"/>
              <w:jc w:val="center"/>
              <w:rPr>
                <w:kern w:val="0"/>
                <w:sz w:val="21"/>
                <w:szCs w:val="21"/>
              </w:rPr>
            </w:pPr>
          </w:p>
        </w:tc>
        <w:tc>
          <w:tcPr>
            <w:tcW w:w="943" w:type="dxa"/>
            <w:gridSpan w:val="4"/>
            <w:vAlign w:val="center"/>
          </w:tcPr>
          <w:p>
            <w:pPr>
              <w:jc w:val="center"/>
              <w:rPr>
                <w:rFonts w:hint="eastAsia"/>
                <w:sz w:val="21"/>
                <w:szCs w:val="21"/>
              </w:rPr>
            </w:pPr>
            <w:r>
              <w:rPr>
                <w:rFonts w:hint="eastAsia"/>
                <w:sz w:val="21"/>
                <w:szCs w:val="21"/>
              </w:rPr>
              <w:t>4</w:t>
            </w:r>
          </w:p>
        </w:tc>
        <w:tc>
          <w:tcPr>
            <w:tcW w:w="1267" w:type="dxa"/>
            <w:gridSpan w:val="3"/>
            <w:vAlign w:val="center"/>
          </w:tcPr>
          <w:p>
            <w:pPr>
              <w:jc w:val="center"/>
              <w:rPr>
                <w:rFonts w:hint="eastAsia"/>
                <w:sz w:val="21"/>
                <w:szCs w:val="21"/>
              </w:rPr>
            </w:pPr>
            <w:r>
              <w:rPr>
                <w:rFonts w:hint="eastAsia"/>
                <w:sz w:val="21"/>
                <w:szCs w:val="21"/>
              </w:rPr>
              <w:t>0.0048</w:t>
            </w:r>
          </w:p>
        </w:tc>
        <w:tc>
          <w:tcPr>
            <w:tcW w:w="831" w:type="dxa"/>
            <w:vMerge w:val="continue"/>
            <w:tcBorders>
              <w:right w:val="single" w:color="auto" w:sz="4" w:space="0"/>
            </w:tcBorders>
            <w:vAlign w:val="center"/>
          </w:tcPr>
          <w:p>
            <w:pPr>
              <w:adjustRightInd w:val="0"/>
              <w:snapToGrid w:val="0"/>
              <w:jc w:val="center"/>
              <w:rPr>
                <w:kern w:val="0"/>
                <w:sz w:val="21"/>
                <w:szCs w:val="21"/>
              </w:rPr>
            </w:pPr>
          </w:p>
        </w:tc>
        <w:tc>
          <w:tcPr>
            <w:tcW w:w="886"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sz w:val="21"/>
                <w:szCs w:val="21"/>
              </w:rPr>
            </w:pPr>
            <w:r>
              <w:rPr>
                <w:rFonts w:hint="eastAsia"/>
                <w:sz w:val="21"/>
                <w:szCs w:val="21"/>
              </w:rPr>
              <w:t>4</w:t>
            </w:r>
          </w:p>
        </w:tc>
        <w:tc>
          <w:tcPr>
            <w:tcW w:w="1016" w:type="dxa"/>
            <w:gridSpan w:val="2"/>
            <w:tcBorders>
              <w:top w:val="single" w:color="auto" w:sz="4" w:space="0"/>
              <w:left w:val="single" w:color="auto" w:sz="4" w:space="0"/>
              <w:bottom w:val="single" w:color="auto" w:sz="4" w:space="0"/>
            </w:tcBorders>
            <w:vAlign w:val="center"/>
          </w:tcPr>
          <w:p>
            <w:pPr>
              <w:jc w:val="center"/>
              <w:rPr>
                <w:rFonts w:hint="eastAsia"/>
                <w:sz w:val="21"/>
                <w:szCs w:val="21"/>
              </w:rPr>
            </w:pPr>
            <w:r>
              <w:rPr>
                <w:rFonts w:hint="eastAsia"/>
                <w:sz w:val="21"/>
                <w:szCs w:val="21"/>
              </w:rPr>
              <w:t>0.0048</w:t>
            </w:r>
          </w:p>
        </w:tc>
        <w:tc>
          <w:tcPr>
            <w:tcW w:w="807" w:type="dxa"/>
            <w:vMerge w:val="continue"/>
            <w:vAlign w:val="center"/>
          </w:tcPr>
          <w:p>
            <w:pPr>
              <w:snapToGrid w:val="0"/>
              <w:jc w:val="center"/>
              <w:rPr>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4" w:hRule="atLeast"/>
          <w:jc w:val="center"/>
        </w:trPr>
        <w:tc>
          <w:tcPr>
            <w:tcW w:w="522" w:type="dxa"/>
            <w:vMerge w:val="restart"/>
            <w:vAlign w:val="center"/>
          </w:tcPr>
          <w:p>
            <w:pPr>
              <w:snapToGrid w:val="0"/>
              <w:jc w:val="center"/>
              <w:rPr>
                <w:rFonts w:hint="eastAsia"/>
                <w:sz w:val="21"/>
                <w:szCs w:val="21"/>
              </w:rPr>
            </w:pPr>
          </w:p>
          <w:p>
            <w:pPr>
              <w:snapToGrid w:val="0"/>
              <w:jc w:val="center"/>
              <w:rPr>
                <w:sz w:val="21"/>
                <w:szCs w:val="21"/>
              </w:rPr>
            </w:pPr>
            <w:r>
              <w:rPr>
                <w:sz w:val="21"/>
                <w:szCs w:val="21"/>
              </w:rPr>
              <w:t>固体废物</w:t>
            </w:r>
          </w:p>
        </w:tc>
        <w:tc>
          <w:tcPr>
            <w:tcW w:w="569" w:type="dxa"/>
            <w:tcBorders>
              <w:bottom w:val="single" w:color="auto" w:sz="4" w:space="0"/>
            </w:tcBorders>
            <w:vAlign w:val="center"/>
          </w:tcPr>
          <w:p>
            <w:pPr>
              <w:snapToGrid w:val="0"/>
              <w:jc w:val="center"/>
              <w:rPr>
                <w:sz w:val="21"/>
                <w:szCs w:val="21"/>
              </w:rPr>
            </w:pPr>
          </w:p>
        </w:tc>
        <w:tc>
          <w:tcPr>
            <w:tcW w:w="1524" w:type="dxa"/>
            <w:gridSpan w:val="2"/>
            <w:tcBorders>
              <w:bottom w:val="single" w:color="auto" w:sz="4" w:space="0"/>
            </w:tcBorders>
            <w:vAlign w:val="center"/>
          </w:tcPr>
          <w:p>
            <w:pPr>
              <w:snapToGrid w:val="0"/>
              <w:jc w:val="center"/>
              <w:rPr>
                <w:sz w:val="21"/>
                <w:szCs w:val="21"/>
              </w:rPr>
            </w:pPr>
            <w:r>
              <w:rPr>
                <w:sz w:val="21"/>
                <w:szCs w:val="21"/>
              </w:rPr>
              <w:t>污染物名称</w:t>
            </w:r>
          </w:p>
        </w:tc>
        <w:tc>
          <w:tcPr>
            <w:tcW w:w="1662" w:type="dxa"/>
            <w:gridSpan w:val="3"/>
            <w:tcBorders>
              <w:bottom w:val="single" w:color="auto" w:sz="4" w:space="0"/>
              <w:right w:val="single" w:color="auto" w:sz="4" w:space="0"/>
            </w:tcBorders>
            <w:vAlign w:val="center"/>
          </w:tcPr>
          <w:p>
            <w:pPr>
              <w:snapToGrid w:val="0"/>
              <w:jc w:val="center"/>
              <w:rPr>
                <w:sz w:val="21"/>
                <w:szCs w:val="21"/>
              </w:rPr>
            </w:pPr>
            <w:r>
              <w:rPr>
                <w:sz w:val="21"/>
                <w:szCs w:val="21"/>
              </w:rPr>
              <w:t>产生量t/a</w:t>
            </w:r>
          </w:p>
        </w:tc>
        <w:tc>
          <w:tcPr>
            <w:tcW w:w="1387" w:type="dxa"/>
            <w:gridSpan w:val="3"/>
            <w:tcBorders>
              <w:left w:val="single" w:color="auto" w:sz="4" w:space="0"/>
              <w:bottom w:val="single" w:color="auto" w:sz="4" w:space="0"/>
            </w:tcBorders>
            <w:vAlign w:val="center"/>
          </w:tcPr>
          <w:p>
            <w:pPr>
              <w:snapToGrid w:val="0"/>
              <w:jc w:val="center"/>
              <w:rPr>
                <w:sz w:val="21"/>
                <w:szCs w:val="21"/>
              </w:rPr>
            </w:pPr>
            <w:r>
              <w:rPr>
                <w:sz w:val="21"/>
                <w:szCs w:val="21"/>
              </w:rPr>
              <w:t>处理处置量t/a</w:t>
            </w:r>
          </w:p>
        </w:tc>
        <w:tc>
          <w:tcPr>
            <w:tcW w:w="1297" w:type="dxa"/>
            <w:gridSpan w:val="4"/>
            <w:tcBorders>
              <w:bottom w:val="single" w:color="auto" w:sz="4" w:space="0"/>
            </w:tcBorders>
            <w:vAlign w:val="center"/>
          </w:tcPr>
          <w:p>
            <w:pPr>
              <w:snapToGrid w:val="0"/>
              <w:jc w:val="center"/>
              <w:rPr>
                <w:sz w:val="21"/>
                <w:szCs w:val="21"/>
              </w:rPr>
            </w:pPr>
            <w:r>
              <w:rPr>
                <w:sz w:val="21"/>
                <w:szCs w:val="21"/>
              </w:rPr>
              <w:t>综合利用量t/a</w:t>
            </w:r>
          </w:p>
        </w:tc>
        <w:tc>
          <w:tcPr>
            <w:tcW w:w="1206" w:type="dxa"/>
            <w:gridSpan w:val="4"/>
            <w:tcBorders>
              <w:bottom w:val="single" w:color="auto" w:sz="4" w:space="0"/>
            </w:tcBorders>
            <w:vAlign w:val="center"/>
          </w:tcPr>
          <w:p>
            <w:pPr>
              <w:snapToGrid w:val="0"/>
              <w:jc w:val="center"/>
              <w:rPr>
                <w:sz w:val="21"/>
                <w:szCs w:val="21"/>
              </w:rPr>
            </w:pPr>
            <w:r>
              <w:rPr>
                <w:sz w:val="21"/>
                <w:szCs w:val="21"/>
              </w:rPr>
              <w:t>外排量</w:t>
            </w:r>
          </w:p>
          <w:p>
            <w:pPr>
              <w:snapToGrid w:val="0"/>
              <w:jc w:val="center"/>
              <w:rPr>
                <w:sz w:val="21"/>
                <w:szCs w:val="21"/>
              </w:rPr>
            </w:pPr>
            <w:r>
              <w:rPr>
                <w:sz w:val="21"/>
                <w:szCs w:val="21"/>
              </w:rPr>
              <w:t>t/a</w:t>
            </w:r>
          </w:p>
        </w:tc>
        <w:tc>
          <w:tcPr>
            <w:tcW w:w="1404" w:type="dxa"/>
            <w:gridSpan w:val="2"/>
            <w:tcBorders>
              <w:bottom w:val="single" w:color="auto" w:sz="4" w:space="0"/>
            </w:tcBorders>
            <w:vAlign w:val="center"/>
          </w:tcPr>
          <w:p>
            <w:pPr>
              <w:snapToGrid w:val="0"/>
              <w:jc w:val="center"/>
              <w:rPr>
                <w:sz w:val="21"/>
                <w:szCs w:val="21"/>
              </w:rPr>
            </w:pPr>
            <w:r>
              <w:rPr>
                <w:sz w:val="21"/>
                <w:szCs w:val="21"/>
              </w:rPr>
              <w:t>排放去向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4" w:hRule="atLeast"/>
          <w:jc w:val="center"/>
        </w:trPr>
        <w:tc>
          <w:tcPr>
            <w:tcW w:w="522" w:type="dxa"/>
            <w:vMerge w:val="continue"/>
            <w:vAlign w:val="center"/>
          </w:tcPr>
          <w:p>
            <w:pPr>
              <w:snapToGrid w:val="0"/>
              <w:jc w:val="center"/>
              <w:rPr>
                <w:sz w:val="21"/>
                <w:szCs w:val="21"/>
              </w:rPr>
            </w:pPr>
          </w:p>
        </w:tc>
        <w:tc>
          <w:tcPr>
            <w:tcW w:w="2093" w:type="dxa"/>
            <w:gridSpan w:val="3"/>
            <w:tcBorders>
              <w:bottom w:val="single" w:color="auto" w:sz="4" w:space="0"/>
            </w:tcBorders>
            <w:vAlign w:val="center"/>
          </w:tcPr>
          <w:p>
            <w:pPr>
              <w:pStyle w:val="37"/>
              <w:widowControl w:val="0"/>
              <w:adjustRightInd w:val="0"/>
              <w:snapToGrid w:val="0"/>
              <w:spacing w:before="0" w:after="0"/>
              <w:jc w:val="center"/>
              <w:rPr>
                <w:rFonts w:ascii="Times New Roman" w:hAnsi="Times New Roman" w:cs="Times New Roman"/>
                <w:kern w:val="2"/>
                <w:sz w:val="21"/>
                <w:szCs w:val="21"/>
              </w:rPr>
            </w:pPr>
            <w:r>
              <w:rPr>
                <w:rFonts w:ascii="Times New Roman" w:hAnsi="Times New Roman"/>
                <w:sz w:val="21"/>
                <w:szCs w:val="21"/>
              </w:rPr>
              <w:t>生活垃圾</w:t>
            </w:r>
          </w:p>
        </w:tc>
        <w:tc>
          <w:tcPr>
            <w:tcW w:w="1662" w:type="dxa"/>
            <w:gridSpan w:val="3"/>
            <w:tcBorders>
              <w:top w:val="single" w:color="auto" w:sz="4" w:space="0"/>
              <w:right w:val="single" w:color="auto" w:sz="4" w:space="0"/>
            </w:tcBorders>
            <w:vAlign w:val="center"/>
          </w:tcPr>
          <w:p>
            <w:pPr>
              <w:pStyle w:val="51"/>
              <w:widowControl w:val="0"/>
              <w:pBdr>
                <w:left w:val="none" w:color="auto" w:sz="0" w:space="0"/>
              </w:pBdr>
              <w:adjustRightInd w:val="0"/>
              <w:snapToGrid w:val="0"/>
              <w:spacing w:before="0" w:beforeAutospacing="0" w:after="0" w:afterAutospacing="0"/>
              <w:rPr>
                <w:rFonts w:hint="eastAsia" w:ascii="Times New Roman" w:hAnsi="Times New Roman" w:eastAsia="宋体"/>
                <w:kern w:val="2"/>
                <w:sz w:val="21"/>
                <w:szCs w:val="21"/>
              </w:rPr>
            </w:pPr>
            <w:r>
              <w:rPr>
                <w:rFonts w:hint="eastAsia" w:ascii="Times New Roman" w:hAnsi="Times New Roman" w:eastAsia="宋体"/>
                <w:kern w:val="2"/>
                <w:sz w:val="21"/>
                <w:szCs w:val="21"/>
              </w:rPr>
              <w:t>4.5</w:t>
            </w:r>
          </w:p>
        </w:tc>
        <w:tc>
          <w:tcPr>
            <w:tcW w:w="1387" w:type="dxa"/>
            <w:gridSpan w:val="3"/>
            <w:tcBorders>
              <w:top w:val="single" w:color="auto" w:sz="4" w:space="0"/>
              <w:left w:val="single" w:color="auto" w:sz="4" w:space="0"/>
            </w:tcBorders>
            <w:vAlign w:val="center"/>
          </w:tcPr>
          <w:p>
            <w:pPr>
              <w:pStyle w:val="51"/>
              <w:widowControl w:val="0"/>
              <w:pBdr>
                <w:left w:val="none" w:color="auto" w:sz="0" w:space="0"/>
              </w:pBdr>
              <w:adjustRightInd w:val="0"/>
              <w:snapToGrid w:val="0"/>
              <w:spacing w:before="0" w:beforeAutospacing="0" w:after="0" w:afterAutospacing="0"/>
              <w:rPr>
                <w:rFonts w:hint="eastAsia" w:ascii="Times New Roman" w:hAnsi="Times New Roman" w:eastAsia="宋体"/>
                <w:kern w:val="2"/>
                <w:sz w:val="21"/>
                <w:szCs w:val="21"/>
              </w:rPr>
            </w:pPr>
            <w:r>
              <w:rPr>
                <w:rFonts w:hint="eastAsia" w:ascii="Times New Roman" w:hAnsi="Times New Roman" w:eastAsia="宋体"/>
                <w:kern w:val="2"/>
                <w:sz w:val="21"/>
                <w:szCs w:val="21"/>
              </w:rPr>
              <w:t>4.5</w:t>
            </w:r>
          </w:p>
        </w:tc>
        <w:tc>
          <w:tcPr>
            <w:tcW w:w="1297" w:type="dxa"/>
            <w:gridSpan w:val="4"/>
            <w:tcBorders>
              <w:top w:val="single" w:color="auto" w:sz="4" w:space="0"/>
            </w:tcBorders>
            <w:vAlign w:val="center"/>
          </w:tcPr>
          <w:p>
            <w:pPr>
              <w:jc w:val="center"/>
              <w:rPr>
                <w:sz w:val="21"/>
                <w:szCs w:val="21"/>
              </w:rPr>
            </w:pPr>
            <w:r>
              <w:rPr>
                <w:sz w:val="21"/>
                <w:szCs w:val="21"/>
              </w:rPr>
              <w:t>0</w:t>
            </w:r>
          </w:p>
        </w:tc>
        <w:tc>
          <w:tcPr>
            <w:tcW w:w="1206" w:type="dxa"/>
            <w:gridSpan w:val="4"/>
            <w:tcBorders>
              <w:top w:val="single" w:color="auto" w:sz="4" w:space="0"/>
            </w:tcBorders>
            <w:vAlign w:val="center"/>
          </w:tcPr>
          <w:p>
            <w:pPr>
              <w:jc w:val="center"/>
              <w:rPr>
                <w:sz w:val="21"/>
                <w:szCs w:val="21"/>
              </w:rPr>
            </w:pPr>
            <w:r>
              <w:rPr>
                <w:sz w:val="21"/>
                <w:szCs w:val="21"/>
              </w:rPr>
              <w:t>0</w:t>
            </w:r>
          </w:p>
        </w:tc>
        <w:tc>
          <w:tcPr>
            <w:tcW w:w="1404" w:type="dxa"/>
            <w:gridSpan w:val="2"/>
            <w:tcBorders>
              <w:bottom w:val="single" w:color="auto" w:sz="4" w:space="0"/>
            </w:tcBorders>
            <w:vAlign w:val="center"/>
          </w:tcPr>
          <w:p>
            <w:pPr>
              <w:snapToGrid w:val="0"/>
              <w:jc w:val="center"/>
              <w:rPr>
                <w:rFonts w:hint="eastAsia"/>
                <w:sz w:val="21"/>
                <w:szCs w:val="21"/>
              </w:rPr>
            </w:pPr>
            <w:r>
              <w:rPr>
                <w:rFonts w:hint="eastAsia"/>
                <w:sz w:val="21"/>
                <w:szCs w:val="21"/>
              </w:rPr>
              <w:t>交环卫部门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228" w:hRule="atLeast"/>
          <w:jc w:val="center"/>
        </w:trPr>
        <w:tc>
          <w:tcPr>
            <w:tcW w:w="522" w:type="dxa"/>
            <w:vAlign w:val="center"/>
          </w:tcPr>
          <w:p>
            <w:pPr>
              <w:snapToGrid w:val="0"/>
              <w:jc w:val="center"/>
              <w:rPr>
                <w:sz w:val="21"/>
                <w:szCs w:val="21"/>
              </w:rPr>
            </w:pPr>
            <w:r>
              <w:rPr>
                <w:sz w:val="21"/>
                <w:szCs w:val="21"/>
              </w:rPr>
              <w:t>噪声</w:t>
            </w:r>
          </w:p>
        </w:tc>
        <w:tc>
          <w:tcPr>
            <w:tcW w:w="9049" w:type="dxa"/>
            <w:gridSpan w:val="19"/>
            <w:vAlign w:val="center"/>
          </w:tcPr>
          <w:p>
            <w:pPr>
              <w:adjustRightInd w:val="0"/>
              <w:snapToGrid w:val="0"/>
              <w:spacing w:line="360" w:lineRule="auto"/>
              <w:ind w:firstLine="420" w:firstLineChars="200"/>
              <w:rPr>
                <w:rFonts w:hint="eastAsia"/>
                <w:sz w:val="21"/>
                <w:szCs w:val="21"/>
              </w:rPr>
            </w:pPr>
            <w:r>
              <w:rPr>
                <w:rFonts w:hint="eastAsia"/>
                <w:sz w:val="21"/>
                <w:szCs w:val="21"/>
              </w:rPr>
              <w:t>本项目主要高噪声设备有运输车辆、水泵、变压器、空调</w:t>
            </w:r>
            <w:r>
              <w:rPr>
                <w:sz w:val="21"/>
                <w:szCs w:val="21"/>
              </w:rPr>
              <w:t>等</w:t>
            </w:r>
            <w:r>
              <w:rPr>
                <w:rFonts w:hint="eastAsia"/>
                <w:sz w:val="21"/>
                <w:szCs w:val="21"/>
              </w:rPr>
              <w:t>，</w:t>
            </w:r>
            <w:r>
              <w:rPr>
                <w:sz w:val="21"/>
                <w:szCs w:val="21"/>
              </w:rPr>
              <w:t>通过</w:t>
            </w:r>
            <w:r>
              <w:rPr>
                <w:rFonts w:hint="eastAsia"/>
                <w:sz w:val="21"/>
                <w:szCs w:val="21"/>
              </w:rPr>
              <w:t>厂区内车辆限制鸣笛，并限制噪声超标车辆驶入，水泵、变压器、空调等</w:t>
            </w:r>
            <w:r>
              <w:rPr>
                <w:sz w:val="21"/>
                <w:szCs w:val="21"/>
              </w:rPr>
              <w:t>选用低噪声的设备、加装减震垫</w:t>
            </w:r>
            <w:r>
              <w:rPr>
                <w:rFonts w:hint="eastAsia"/>
                <w:sz w:val="21"/>
                <w:szCs w:val="21"/>
              </w:rPr>
              <w:t>、排风口消音措施</w:t>
            </w:r>
            <w:r>
              <w:rPr>
                <w:sz w:val="21"/>
                <w:szCs w:val="21"/>
              </w:rPr>
              <w:t>；充分利用距离衰减；在厂区设置绿化带，降低高噪声设备对厂界环境的影响，通过采取上述治理措施后，可确保厂界达到噪声排放达到《工业企业厂界环境噪声排放标准》（GB12348-2008）</w:t>
            </w:r>
            <w:r>
              <w:rPr>
                <w:rFonts w:hint="eastAsia"/>
                <w:sz w:val="21"/>
                <w:szCs w:val="21"/>
              </w:rPr>
              <w:t>中3类</w:t>
            </w:r>
            <w:r>
              <w:rPr>
                <w:sz w:val="21"/>
                <w:szCs w:val="21"/>
              </w:rPr>
              <w:t>标准要求。</w:t>
            </w:r>
          </w:p>
          <w:p>
            <w:pPr>
              <w:adjustRightInd w:val="0"/>
              <w:snapToGrid w:val="0"/>
              <w:spacing w:line="360" w:lineRule="auto"/>
              <w:ind w:firstLine="420" w:firstLineChars="200"/>
              <w:rPr>
                <w:rFonts w:hint="eastAsia"/>
                <w:sz w:val="21"/>
                <w:szCs w:val="21"/>
              </w:rPr>
            </w:pPr>
          </w:p>
          <w:p>
            <w:pPr>
              <w:adjustRightInd w:val="0"/>
              <w:snapToGrid w:val="0"/>
              <w:spacing w:line="360" w:lineRule="auto"/>
              <w:ind w:firstLine="420" w:firstLineChars="200"/>
              <w:rPr>
                <w:rFonts w:hint="eastAsia"/>
                <w:sz w:val="21"/>
                <w:szCs w:val="21"/>
              </w:rPr>
            </w:pPr>
          </w:p>
          <w:p>
            <w:pPr>
              <w:adjustRightInd w:val="0"/>
              <w:snapToGrid w:val="0"/>
              <w:spacing w:line="360" w:lineRule="auto"/>
              <w:ind w:firstLine="420" w:firstLineChars="200"/>
              <w:rPr>
                <w:rFonts w:hint="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422" w:hRule="atLeast"/>
          <w:jc w:val="center"/>
        </w:trPr>
        <w:tc>
          <w:tcPr>
            <w:tcW w:w="522" w:type="dxa"/>
            <w:vAlign w:val="center"/>
          </w:tcPr>
          <w:p>
            <w:pPr>
              <w:snapToGrid w:val="0"/>
              <w:jc w:val="center"/>
              <w:rPr>
                <w:sz w:val="21"/>
                <w:szCs w:val="21"/>
              </w:rPr>
            </w:pPr>
            <w:r>
              <w:rPr>
                <w:sz w:val="21"/>
                <w:szCs w:val="21"/>
              </w:rPr>
              <w:t>生态</w:t>
            </w:r>
          </w:p>
        </w:tc>
        <w:tc>
          <w:tcPr>
            <w:tcW w:w="9049" w:type="dxa"/>
            <w:gridSpan w:val="19"/>
            <w:vAlign w:val="center"/>
          </w:tcPr>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r>
              <w:rPr>
                <w:rFonts w:hint="eastAsia"/>
                <w:sz w:val="21"/>
                <w:szCs w:val="21"/>
              </w:rPr>
              <w:t>项目现状为空地，建成运营后绿化面积1796平方米，能够在一定程度上改善区域生态环境质量，美化环境</w:t>
            </w: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p>
            <w:pPr>
              <w:snapToGrid w:val="0"/>
              <w:jc w:val="center"/>
              <w:rPr>
                <w:rFonts w:hint="eastAsia"/>
                <w:sz w:val="21"/>
                <w:szCs w:val="21"/>
              </w:rPr>
            </w:pPr>
          </w:p>
        </w:tc>
      </w:tr>
    </w:tbl>
    <w:p>
      <w:pPr>
        <w:outlineLvl w:val="0"/>
        <w:rPr>
          <w:b/>
        </w:rPr>
      </w:pPr>
      <w:r>
        <w:rPr>
          <w:b/>
        </w:rPr>
        <w:t>七、环境影响分析</w:t>
      </w:r>
    </w:p>
    <w:tbl>
      <w:tblPr>
        <w:tblStyle w:val="34"/>
        <w:tblW w:w="9268"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268"/>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8" w:type="dxa"/>
            <w:vAlign w:val="top"/>
          </w:tcPr>
          <w:p>
            <w:pPr>
              <w:spacing w:line="360" w:lineRule="auto"/>
              <w:rPr>
                <w:b/>
                <w:sz w:val="24"/>
              </w:rPr>
            </w:pPr>
            <w:r>
              <w:rPr>
                <w:rFonts w:hAnsi="宋体"/>
                <w:b/>
                <w:sz w:val="24"/>
              </w:rPr>
              <w:t>施工期环境影响分析：</w:t>
            </w:r>
          </w:p>
          <w:p>
            <w:pPr>
              <w:spacing w:line="360" w:lineRule="auto"/>
              <w:ind w:firstLine="480" w:firstLineChars="200"/>
              <w:rPr>
                <w:rFonts w:hint="eastAsia"/>
                <w:sz w:val="24"/>
              </w:rPr>
            </w:pPr>
            <w:r>
              <w:rPr>
                <w:sz w:val="24"/>
              </w:rPr>
              <w:t>在</w:t>
            </w:r>
            <w:r>
              <w:rPr>
                <w:rFonts w:hint="eastAsia"/>
                <w:sz w:val="24"/>
              </w:rPr>
              <w:t>项目</w:t>
            </w:r>
            <w:r>
              <w:rPr>
                <w:sz w:val="24"/>
              </w:rPr>
              <w:t>施工期间，各项施工活动不可避免的将会对周围的环境造成影响，主要包括废气和粉尘、噪声、固体废物、废水等对周围环境的影响，而且以粉尘和施工噪声尤为明显。</w:t>
            </w:r>
          </w:p>
          <w:p>
            <w:pPr>
              <w:spacing w:line="360" w:lineRule="auto"/>
              <w:ind w:firstLine="480" w:firstLineChars="200"/>
              <w:rPr>
                <w:sz w:val="24"/>
              </w:rPr>
            </w:pPr>
            <w:r>
              <w:rPr>
                <w:sz w:val="24"/>
              </w:rPr>
              <w:t>1、大气环境影响分析</w:t>
            </w:r>
          </w:p>
          <w:p>
            <w:pPr>
              <w:spacing w:line="360" w:lineRule="auto"/>
              <w:ind w:firstLine="569" w:firstLineChars="237"/>
              <w:rPr>
                <w:sz w:val="24"/>
              </w:rPr>
            </w:pPr>
            <w:r>
              <w:rPr>
                <w:sz w:val="24"/>
              </w:rPr>
              <w:t>施工过程中，除来源于施工机械和运输车辆所排放的少量燃油废气外，粉尘是主要的污染源：建筑材料装卸、堆放过程中扬尘；运输车辆往来将造成地面扬尘；施工垃圾的堆放扬尘等。施工期间产生的扬尘，将对附近的大气环境带来不利的影响。因此必须采取合理可行的控制措施，尽量减轻其污染程度，缩小其影响范围。</w:t>
            </w:r>
          </w:p>
          <w:p>
            <w:pPr>
              <w:spacing w:line="360" w:lineRule="auto"/>
              <w:ind w:firstLine="480" w:firstLineChars="200"/>
              <w:rPr>
                <w:sz w:val="24"/>
              </w:rPr>
            </w:pPr>
            <w:r>
              <w:rPr>
                <w:sz w:val="24"/>
              </w:rPr>
              <w:t>施工期的污染防治措施主要有：</w:t>
            </w:r>
          </w:p>
          <w:p>
            <w:pPr>
              <w:spacing w:line="360" w:lineRule="auto"/>
              <w:ind w:firstLine="480" w:firstLineChars="200"/>
              <w:rPr>
                <w:sz w:val="24"/>
              </w:rPr>
            </w:pPr>
            <w:r>
              <w:rPr>
                <w:rFonts w:hint="eastAsia"/>
                <w:sz w:val="24"/>
              </w:rPr>
              <w:t>⑴</w:t>
            </w:r>
            <w:r>
              <w:rPr>
                <w:sz w:val="24"/>
                <w:lang w:val="zh-CN"/>
              </w:rPr>
              <w:t>施工前先修建筑施工围墙。</w:t>
            </w:r>
          </w:p>
          <w:p>
            <w:pPr>
              <w:spacing w:line="360" w:lineRule="auto"/>
              <w:ind w:firstLine="480" w:firstLineChars="200"/>
              <w:rPr>
                <w:sz w:val="24"/>
              </w:rPr>
            </w:pPr>
            <w:r>
              <w:rPr>
                <w:rFonts w:hint="eastAsia"/>
                <w:sz w:val="24"/>
              </w:rPr>
              <w:t>⑵</w:t>
            </w:r>
            <w:r>
              <w:rPr>
                <w:sz w:val="24"/>
                <w:lang w:val="zh-CN"/>
              </w:rPr>
              <w:t>加强施工管理，安排专职人员负责现场的卫生管理。</w:t>
            </w:r>
          </w:p>
          <w:p>
            <w:pPr>
              <w:spacing w:line="360" w:lineRule="auto"/>
              <w:ind w:firstLine="480" w:firstLineChars="200"/>
              <w:rPr>
                <w:sz w:val="24"/>
              </w:rPr>
            </w:pPr>
            <w:r>
              <w:rPr>
                <w:rFonts w:hint="eastAsia"/>
                <w:sz w:val="24"/>
              </w:rPr>
              <w:t>⑶</w:t>
            </w:r>
            <w:r>
              <w:rPr>
                <w:sz w:val="24"/>
              </w:rPr>
              <w:t>开挖时，对作业面适当喷水，使其保持一定的湿度，以减少扬尘量。而且，建筑材料和建筑垃圾应及时运走。</w:t>
            </w:r>
          </w:p>
          <w:p>
            <w:pPr>
              <w:spacing w:line="360" w:lineRule="auto"/>
              <w:ind w:firstLine="480" w:firstLineChars="200"/>
              <w:rPr>
                <w:sz w:val="24"/>
              </w:rPr>
            </w:pPr>
            <w:r>
              <w:rPr>
                <w:rFonts w:hint="eastAsia"/>
                <w:sz w:val="24"/>
              </w:rPr>
              <w:t>⑷</w:t>
            </w:r>
            <w:r>
              <w:rPr>
                <w:sz w:val="24"/>
              </w:rPr>
              <w:t>谨防运输车辆装载过满，并尽量采取遮盖、密闭措施，减少其沿途抛洒，并及时清扫散落在路面的泥土和灰尘，冲洗轮胎，定时洒水压尘，减少运输过程中的扬尘。</w:t>
            </w:r>
          </w:p>
          <w:p>
            <w:pPr>
              <w:spacing w:line="360" w:lineRule="auto"/>
              <w:ind w:firstLine="480" w:firstLineChars="200"/>
              <w:rPr>
                <w:sz w:val="24"/>
              </w:rPr>
            </w:pPr>
            <w:r>
              <w:rPr>
                <w:rFonts w:hint="eastAsia"/>
                <w:sz w:val="24"/>
              </w:rPr>
              <w:t>⑸</w:t>
            </w:r>
            <w:r>
              <w:rPr>
                <w:sz w:val="24"/>
              </w:rPr>
              <w:t>施工方还应在施工现场采取全封闭式施工，采用密闭安全网等维护结构，防止扬尘污染周围环境。</w:t>
            </w:r>
          </w:p>
          <w:p>
            <w:pPr>
              <w:spacing w:line="360" w:lineRule="auto"/>
              <w:ind w:firstLine="480" w:firstLineChars="200"/>
              <w:rPr>
                <w:rFonts w:hint="eastAsia"/>
                <w:sz w:val="24"/>
              </w:rPr>
            </w:pPr>
            <w:r>
              <w:rPr>
                <w:rFonts w:hint="eastAsia"/>
                <w:sz w:val="24"/>
              </w:rPr>
              <w:t>⑹</w:t>
            </w:r>
            <w:r>
              <w:rPr>
                <w:sz w:val="24"/>
              </w:rPr>
              <w:t>风速过大时应停止施工作业，并对堆放的砂石等建筑材料进行遮盖处理。</w:t>
            </w:r>
          </w:p>
          <w:p>
            <w:pPr>
              <w:spacing w:line="360" w:lineRule="auto"/>
              <w:ind w:firstLine="480" w:firstLineChars="200"/>
              <w:rPr>
                <w:sz w:val="24"/>
              </w:rPr>
            </w:pPr>
            <w:r>
              <w:rPr>
                <w:rFonts w:hint="eastAsia" w:ascii="宋体" w:hAnsi="宋体" w:cs="宋体"/>
                <w:sz w:val="24"/>
              </w:rPr>
              <w:t>⑺</w:t>
            </w:r>
            <w:r>
              <w:rPr>
                <w:sz w:val="24"/>
              </w:rPr>
              <w:t>合理安排施工现场，所有的砂石料应统一堆放、保存，应尽可能减少堆场数量，并加棚布等覆盖；水泥等粉状材料运输应袋装或罐装，禁止散装，应设专门的库房堆放，并具备可靠的防扬尘措施，尽量减少搬运环节，搬运时要做到轻举轻放。</w:t>
            </w:r>
          </w:p>
          <w:p>
            <w:pPr>
              <w:spacing w:line="360" w:lineRule="auto"/>
              <w:ind w:firstLine="480" w:firstLineChars="200"/>
              <w:rPr>
                <w:sz w:val="24"/>
              </w:rPr>
            </w:pPr>
            <w:r>
              <w:rPr>
                <w:rFonts w:hint="eastAsia" w:ascii="宋体" w:hAnsi="宋体" w:cs="宋体"/>
                <w:sz w:val="24"/>
              </w:rPr>
              <w:t>⑻</w:t>
            </w:r>
            <w:r>
              <w:rPr>
                <w:sz w:val="24"/>
              </w:rPr>
              <w:t>开挖的土方及建筑垃圾作为绿化场地的抬高土要及时进行利用，以防因长期堆放表面干燥而起尘，对作业面和材料、建筑垃圾等堆放场地定期洒水，使其保持一定的湿度，以减少扬尘量。</w:t>
            </w:r>
          </w:p>
          <w:p>
            <w:pPr>
              <w:spacing w:line="360" w:lineRule="auto"/>
              <w:ind w:firstLine="480" w:firstLineChars="200"/>
              <w:rPr>
                <w:sz w:val="24"/>
              </w:rPr>
            </w:pPr>
            <w:r>
              <w:rPr>
                <w:sz w:val="24"/>
              </w:rPr>
              <w:t>2、地表水环境影响分析</w:t>
            </w:r>
          </w:p>
          <w:p>
            <w:pPr>
              <w:spacing w:line="360" w:lineRule="auto"/>
              <w:ind w:firstLine="480" w:firstLineChars="200"/>
              <w:rPr>
                <w:sz w:val="24"/>
              </w:rPr>
            </w:pPr>
            <w:r>
              <w:rPr>
                <w:sz w:val="24"/>
              </w:rPr>
              <w:t>施工期废水主要有两种类型，其一是施工人员生活污水，其二是生产废水。此外还有雨水产生的地面径流，因冲刷工地后排入项目附近水域，所以也是个水污染源。</w:t>
            </w:r>
          </w:p>
          <w:p>
            <w:pPr>
              <w:spacing w:line="360" w:lineRule="auto"/>
              <w:ind w:firstLine="480" w:firstLineChars="200"/>
              <w:rPr>
                <w:rFonts w:hint="eastAsia"/>
                <w:sz w:val="24"/>
              </w:rPr>
            </w:pPr>
            <w:r>
              <w:rPr>
                <w:rFonts w:hint="eastAsia"/>
                <w:sz w:val="24"/>
              </w:rPr>
              <w:t>⑴生活污水</w:t>
            </w:r>
          </w:p>
          <w:p>
            <w:pPr>
              <w:spacing w:line="360" w:lineRule="auto"/>
              <w:ind w:firstLine="480" w:firstLineChars="200"/>
              <w:rPr>
                <w:sz w:val="24"/>
              </w:rPr>
            </w:pPr>
            <w:r>
              <w:rPr>
                <w:sz w:val="24"/>
              </w:rPr>
              <w:t>项目施工期每天平均人员约</w:t>
            </w:r>
            <w:r>
              <w:rPr>
                <w:rFonts w:hint="eastAsia"/>
                <w:sz w:val="24"/>
              </w:rPr>
              <w:t>6</w:t>
            </w:r>
            <w:r>
              <w:rPr>
                <w:sz w:val="24"/>
              </w:rPr>
              <w:t>0人，生活污水产生量以80L/人·d计，则施工期用水量为</w:t>
            </w:r>
            <w:r>
              <w:rPr>
                <w:rFonts w:hint="eastAsia"/>
                <w:sz w:val="24"/>
              </w:rPr>
              <w:t>4.8</w:t>
            </w:r>
            <w:r>
              <w:rPr>
                <w:sz w:val="24"/>
              </w:rPr>
              <w:t>m</w:t>
            </w:r>
            <w:r>
              <w:rPr>
                <w:sz w:val="24"/>
                <w:vertAlign w:val="superscript"/>
              </w:rPr>
              <w:t>3</w:t>
            </w:r>
            <w:r>
              <w:rPr>
                <w:sz w:val="24"/>
              </w:rPr>
              <w:t>/d，排污系数按用水量的8</w:t>
            </w:r>
            <w:r>
              <w:rPr>
                <w:rFonts w:hint="eastAsia"/>
                <w:sz w:val="24"/>
              </w:rPr>
              <w:t>0</w:t>
            </w:r>
            <w:r>
              <w:rPr>
                <w:sz w:val="24"/>
              </w:rPr>
              <w:t>%计，则施工期生活污水排放量为</w:t>
            </w:r>
            <w:r>
              <w:rPr>
                <w:rFonts w:hint="eastAsia"/>
                <w:sz w:val="24"/>
              </w:rPr>
              <w:t>3.84</w:t>
            </w:r>
            <w:r>
              <w:rPr>
                <w:sz w:val="24"/>
              </w:rPr>
              <w:t>m</w:t>
            </w:r>
            <w:r>
              <w:rPr>
                <w:sz w:val="24"/>
                <w:vertAlign w:val="superscript"/>
              </w:rPr>
              <w:t>3</w:t>
            </w:r>
            <w:r>
              <w:rPr>
                <w:sz w:val="24"/>
              </w:rPr>
              <w:t>/d，污染物COD、SS、NH</w:t>
            </w:r>
            <w:r>
              <w:rPr>
                <w:sz w:val="24"/>
                <w:vertAlign w:val="subscript"/>
              </w:rPr>
              <w:t>3</w:t>
            </w:r>
            <w:r>
              <w:rPr>
                <w:sz w:val="24"/>
              </w:rPr>
              <w:t>-N、</w:t>
            </w:r>
            <w:r>
              <w:rPr>
                <w:rFonts w:hint="eastAsia"/>
                <w:sz w:val="24"/>
              </w:rPr>
              <w:t>TN、</w:t>
            </w:r>
            <w:r>
              <w:rPr>
                <w:sz w:val="24"/>
              </w:rPr>
              <w:t>TP的产生浓度约为3</w:t>
            </w:r>
            <w:r>
              <w:rPr>
                <w:rFonts w:hint="eastAsia"/>
                <w:sz w:val="24"/>
              </w:rPr>
              <w:t>5</w:t>
            </w:r>
            <w:r>
              <w:rPr>
                <w:sz w:val="24"/>
              </w:rPr>
              <w:t>0mg/L、2</w:t>
            </w:r>
            <w:r>
              <w:rPr>
                <w:rFonts w:hint="eastAsia"/>
                <w:sz w:val="24"/>
              </w:rPr>
              <w:t>85</w:t>
            </w:r>
            <w:r>
              <w:rPr>
                <w:sz w:val="24"/>
              </w:rPr>
              <w:t>mg/L、30mg/L</w:t>
            </w:r>
            <w:r>
              <w:rPr>
                <w:rFonts w:hint="eastAsia"/>
                <w:sz w:val="24"/>
              </w:rPr>
              <w:t>和</w:t>
            </w:r>
            <w:r>
              <w:rPr>
                <w:sz w:val="24"/>
              </w:rPr>
              <w:t>3.0mg/L，产生量分别约为</w:t>
            </w:r>
            <w:r>
              <w:rPr>
                <w:rFonts w:hint="eastAsia"/>
                <w:sz w:val="24"/>
              </w:rPr>
              <w:t>1.344kg</w:t>
            </w:r>
            <w:r>
              <w:rPr>
                <w:sz w:val="24"/>
              </w:rPr>
              <w:t>/d、</w:t>
            </w:r>
            <w:r>
              <w:rPr>
                <w:rFonts w:hint="eastAsia"/>
                <w:sz w:val="24"/>
              </w:rPr>
              <w:t>1.049kg</w:t>
            </w:r>
            <w:r>
              <w:rPr>
                <w:sz w:val="24"/>
              </w:rPr>
              <w:t>/d、</w:t>
            </w:r>
            <w:r>
              <w:rPr>
                <w:rFonts w:hint="eastAsia"/>
                <w:sz w:val="24"/>
              </w:rPr>
              <w:t>0.116kg</w:t>
            </w:r>
            <w:r>
              <w:rPr>
                <w:sz w:val="24"/>
              </w:rPr>
              <w:t>/d</w:t>
            </w:r>
            <w:r>
              <w:rPr>
                <w:rFonts w:hint="eastAsia"/>
                <w:sz w:val="24"/>
              </w:rPr>
              <w:t>和0.012kg</w:t>
            </w:r>
            <w:r>
              <w:rPr>
                <w:sz w:val="24"/>
              </w:rPr>
              <w:t>/d。</w:t>
            </w:r>
          </w:p>
          <w:p>
            <w:pPr>
              <w:spacing w:line="360" w:lineRule="auto"/>
              <w:ind w:firstLine="480" w:firstLineChars="200"/>
              <w:rPr>
                <w:sz w:val="24"/>
              </w:rPr>
            </w:pPr>
            <w:r>
              <w:rPr>
                <w:sz w:val="24"/>
              </w:rPr>
              <w:t>由于项目施工期污水排放量仅为</w:t>
            </w:r>
            <w:r>
              <w:rPr>
                <w:rFonts w:hint="eastAsia"/>
                <w:sz w:val="24"/>
              </w:rPr>
              <w:t>3.84</w:t>
            </w:r>
            <w:r>
              <w:rPr>
                <w:sz w:val="24"/>
              </w:rPr>
              <w:t>m</w:t>
            </w:r>
            <w:r>
              <w:rPr>
                <w:sz w:val="24"/>
                <w:vertAlign w:val="superscript"/>
              </w:rPr>
              <w:t>3</w:t>
            </w:r>
            <w:r>
              <w:rPr>
                <w:sz w:val="24"/>
              </w:rPr>
              <w:t>/d，污染物排放量很小，经</w:t>
            </w:r>
            <w:r>
              <w:rPr>
                <w:rFonts w:hint="eastAsia"/>
                <w:sz w:val="24"/>
              </w:rPr>
              <w:t>临时</w:t>
            </w:r>
            <w:r>
              <w:rPr>
                <w:sz w:val="24"/>
              </w:rPr>
              <w:t>化粪池处理后</w:t>
            </w:r>
            <w:r>
              <w:rPr>
                <w:rFonts w:hint="eastAsia"/>
                <w:sz w:val="24"/>
              </w:rPr>
              <w:t>，</w:t>
            </w:r>
            <w:r>
              <w:rPr>
                <w:rFonts w:hint="eastAsia"/>
                <w:sz w:val="24"/>
                <w:szCs w:val="24"/>
              </w:rPr>
              <w:t>接管污水处理厂，对周围环境影响较小</w:t>
            </w:r>
            <w:r>
              <w:rPr>
                <w:sz w:val="24"/>
              </w:rPr>
              <w:t>。</w:t>
            </w:r>
          </w:p>
          <w:p>
            <w:pPr>
              <w:spacing w:line="360" w:lineRule="auto"/>
              <w:ind w:firstLine="480" w:firstLineChars="200"/>
              <w:rPr>
                <w:rFonts w:hint="eastAsia"/>
                <w:sz w:val="24"/>
              </w:rPr>
            </w:pPr>
            <w:r>
              <w:rPr>
                <w:rFonts w:hint="eastAsia"/>
                <w:sz w:val="24"/>
              </w:rPr>
              <w:t>⑵生产废水</w:t>
            </w:r>
          </w:p>
          <w:p>
            <w:pPr>
              <w:pStyle w:val="19"/>
              <w:spacing w:line="360" w:lineRule="auto"/>
              <w:ind w:firstLine="480" w:firstLineChars="200"/>
              <w:rPr>
                <w:rFonts w:ascii="Times New Roman" w:hAnsi="Times New Roman"/>
                <w:sz w:val="24"/>
                <w:szCs w:val="24"/>
                <w:lang w:val="en-US" w:eastAsia="zh-CN"/>
              </w:rPr>
            </w:pPr>
            <w:r>
              <w:rPr>
                <w:rFonts w:ascii="Times New Roman" w:hAnsi="Times New Roman"/>
                <w:sz w:val="24"/>
                <w:szCs w:val="24"/>
                <w:lang w:val="en-US" w:eastAsia="zh-CN"/>
              </w:rPr>
              <w:t>生产性废水，是指拌制泥砂浆，浸洗建材等作业中，多余或泄漏的废水，以及清洗模板、机具、车辆设备、场地卫生等排放的污水。生产废水的产生量与工地管理水平关系极大，如能从严管理，做到节约用水，杜绝泄漏，其排水量可减少一半。</w:t>
            </w:r>
          </w:p>
          <w:p>
            <w:pPr>
              <w:spacing w:line="360" w:lineRule="auto"/>
              <w:ind w:firstLine="480" w:firstLineChars="200"/>
              <w:rPr>
                <w:kern w:val="0"/>
                <w:sz w:val="24"/>
              </w:rPr>
            </w:pPr>
            <w:r>
              <w:rPr>
                <w:kern w:val="0"/>
                <w:sz w:val="24"/>
              </w:rPr>
              <w:t>3、声环境影响分析</w:t>
            </w:r>
          </w:p>
          <w:p>
            <w:pPr>
              <w:spacing w:line="360" w:lineRule="auto"/>
              <w:ind w:firstLine="480" w:firstLineChars="200"/>
              <w:rPr>
                <w:sz w:val="24"/>
              </w:rPr>
            </w:pPr>
            <w:r>
              <w:rPr>
                <w:sz w:val="24"/>
              </w:rPr>
              <w:t>施工期间的主要噪声源为各类施工机械的辐射噪声和原材料、建筑垃圾运输时车辆引发的交通噪声。据国内同类设备在工作状态时的调查资料，施工期各类作业机械噪声平均强度见下表。</w:t>
            </w:r>
          </w:p>
          <w:p>
            <w:pPr>
              <w:spacing w:line="360" w:lineRule="auto"/>
              <w:ind w:firstLine="480" w:firstLineChars="200"/>
              <w:jc w:val="center"/>
              <w:rPr>
                <w:sz w:val="24"/>
              </w:rPr>
            </w:pPr>
            <w:r>
              <w:rPr>
                <w:rFonts w:hint="eastAsia"/>
                <w:sz w:val="24"/>
              </w:rPr>
              <w:t xml:space="preserve">表32 </w:t>
            </w:r>
            <w:r>
              <w:rPr>
                <w:sz w:val="24"/>
              </w:rPr>
              <w:t>各施工阶段主要噪声源情况一览表（单位：dB(A)）</w:t>
            </w:r>
          </w:p>
          <w:tbl>
            <w:tblPr>
              <w:tblStyle w:val="34"/>
              <w:tblW w:w="9006" w:type="dxa"/>
              <w:tblInd w:w="0" w:type="dxa"/>
              <w:tblBorders>
                <w:top w:val="single" w:color="auto" w:sz="8" w:space="0"/>
                <w:left w:val="single" w:color="auto" w:sz="4" w:space="0"/>
                <w:bottom w:val="single" w:color="auto" w:sz="8"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745"/>
              <w:gridCol w:w="1362"/>
              <w:gridCol w:w="1215"/>
              <w:gridCol w:w="1706"/>
              <w:gridCol w:w="1502"/>
            </w:tblGrid>
            <w:tr>
              <w:tblPrEx>
                <w:tblBorders>
                  <w:top w:val="single" w:color="auto" w:sz="8" w:space="0"/>
                  <w:left w:val="single" w:color="auto" w:sz="4" w:space="0"/>
                  <w:bottom w:val="single" w:color="auto" w:sz="8"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 w:hRule="atLeast"/>
              </w:trPr>
              <w:tc>
                <w:tcPr>
                  <w:tcW w:w="1476" w:type="dxa"/>
                  <w:vAlign w:val="center"/>
                </w:tcPr>
                <w:p>
                  <w:pPr>
                    <w:snapToGrid w:val="0"/>
                    <w:jc w:val="center"/>
                    <w:rPr>
                      <w:sz w:val="21"/>
                      <w:szCs w:val="21"/>
                    </w:rPr>
                  </w:pPr>
                  <w:r>
                    <w:rPr>
                      <w:sz w:val="21"/>
                      <w:szCs w:val="21"/>
                    </w:rPr>
                    <w:t>施工阶段</w:t>
                  </w:r>
                </w:p>
              </w:tc>
              <w:tc>
                <w:tcPr>
                  <w:tcW w:w="1745" w:type="dxa"/>
                  <w:vAlign w:val="center"/>
                </w:tcPr>
                <w:p>
                  <w:pPr>
                    <w:snapToGrid w:val="0"/>
                    <w:jc w:val="center"/>
                    <w:rPr>
                      <w:sz w:val="21"/>
                      <w:szCs w:val="21"/>
                    </w:rPr>
                  </w:pPr>
                  <w:r>
                    <w:rPr>
                      <w:sz w:val="21"/>
                      <w:szCs w:val="21"/>
                    </w:rPr>
                    <w:t>声源</w:t>
                  </w:r>
                </w:p>
              </w:tc>
              <w:tc>
                <w:tcPr>
                  <w:tcW w:w="1362" w:type="dxa"/>
                  <w:vAlign w:val="center"/>
                </w:tcPr>
                <w:p>
                  <w:pPr>
                    <w:snapToGrid w:val="0"/>
                    <w:jc w:val="center"/>
                    <w:rPr>
                      <w:sz w:val="21"/>
                      <w:szCs w:val="21"/>
                    </w:rPr>
                  </w:pPr>
                  <w:r>
                    <w:rPr>
                      <w:sz w:val="21"/>
                      <w:szCs w:val="21"/>
                    </w:rPr>
                    <w:t>噪声级</w:t>
                  </w:r>
                </w:p>
              </w:tc>
              <w:tc>
                <w:tcPr>
                  <w:tcW w:w="1215" w:type="dxa"/>
                  <w:vAlign w:val="center"/>
                </w:tcPr>
                <w:p>
                  <w:pPr>
                    <w:snapToGrid w:val="0"/>
                    <w:jc w:val="center"/>
                    <w:rPr>
                      <w:sz w:val="21"/>
                      <w:szCs w:val="21"/>
                    </w:rPr>
                  </w:pPr>
                  <w:r>
                    <w:rPr>
                      <w:sz w:val="21"/>
                      <w:szCs w:val="21"/>
                    </w:rPr>
                    <w:t>施工阶段</w:t>
                  </w:r>
                </w:p>
              </w:tc>
              <w:tc>
                <w:tcPr>
                  <w:tcW w:w="1706" w:type="dxa"/>
                  <w:vAlign w:val="center"/>
                </w:tcPr>
                <w:p>
                  <w:pPr>
                    <w:snapToGrid w:val="0"/>
                    <w:jc w:val="center"/>
                    <w:rPr>
                      <w:sz w:val="21"/>
                      <w:szCs w:val="21"/>
                    </w:rPr>
                  </w:pPr>
                  <w:r>
                    <w:rPr>
                      <w:sz w:val="21"/>
                      <w:szCs w:val="21"/>
                    </w:rPr>
                    <w:t>声源</w:t>
                  </w:r>
                </w:p>
              </w:tc>
              <w:tc>
                <w:tcPr>
                  <w:tcW w:w="1502" w:type="dxa"/>
                  <w:vAlign w:val="center"/>
                </w:tcPr>
                <w:p>
                  <w:pPr>
                    <w:snapToGrid w:val="0"/>
                    <w:jc w:val="center"/>
                    <w:rPr>
                      <w:sz w:val="21"/>
                      <w:szCs w:val="21"/>
                    </w:rPr>
                  </w:pPr>
                  <w:r>
                    <w:rPr>
                      <w:sz w:val="21"/>
                      <w:szCs w:val="21"/>
                    </w:rPr>
                    <w:t>噪声级</w:t>
                  </w:r>
                </w:p>
              </w:tc>
            </w:tr>
            <w:tr>
              <w:tblPrEx>
                <w:tblBorders>
                  <w:top w:val="single" w:color="auto" w:sz="8" w:space="0"/>
                  <w:left w:val="single" w:color="auto" w:sz="4" w:space="0"/>
                  <w:bottom w:val="single" w:color="auto" w:sz="8"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6" w:hRule="atLeast"/>
              </w:trPr>
              <w:tc>
                <w:tcPr>
                  <w:tcW w:w="1476" w:type="dxa"/>
                  <w:vAlign w:val="center"/>
                </w:tcPr>
                <w:p>
                  <w:pPr>
                    <w:snapToGrid w:val="0"/>
                    <w:jc w:val="center"/>
                    <w:rPr>
                      <w:sz w:val="21"/>
                      <w:szCs w:val="21"/>
                    </w:rPr>
                  </w:pPr>
                  <w:r>
                    <w:rPr>
                      <w:sz w:val="21"/>
                      <w:szCs w:val="21"/>
                    </w:rPr>
                    <w:t>土石方阶段</w:t>
                  </w:r>
                </w:p>
              </w:tc>
              <w:tc>
                <w:tcPr>
                  <w:tcW w:w="1745" w:type="dxa"/>
                  <w:vAlign w:val="center"/>
                </w:tcPr>
                <w:p>
                  <w:pPr>
                    <w:snapToGrid w:val="0"/>
                    <w:jc w:val="center"/>
                    <w:rPr>
                      <w:sz w:val="21"/>
                      <w:szCs w:val="21"/>
                    </w:rPr>
                  </w:pPr>
                  <w:r>
                    <w:rPr>
                      <w:sz w:val="21"/>
                      <w:szCs w:val="21"/>
                    </w:rPr>
                    <w:t>挖土机</w:t>
                  </w:r>
                </w:p>
                <w:p>
                  <w:pPr>
                    <w:snapToGrid w:val="0"/>
                    <w:jc w:val="center"/>
                    <w:rPr>
                      <w:sz w:val="21"/>
                      <w:szCs w:val="21"/>
                    </w:rPr>
                  </w:pPr>
                  <w:r>
                    <w:rPr>
                      <w:sz w:val="21"/>
                      <w:szCs w:val="21"/>
                    </w:rPr>
                    <w:t>冲击机</w:t>
                  </w:r>
                </w:p>
                <w:p>
                  <w:pPr>
                    <w:snapToGrid w:val="0"/>
                    <w:jc w:val="center"/>
                    <w:rPr>
                      <w:sz w:val="21"/>
                      <w:szCs w:val="21"/>
                    </w:rPr>
                  </w:pPr>
                  <w:r>
                    <w:rPr>
                      <w:sz w:val="21"/>
                      <w:szCs w:val="21"/>
                    </w:rPr>
                    <w:t>空压机</w:t>
                  </w:r>
                </w:p>
                <w:p>
                  <w:pPr>
                    <w:snapToGrid w:val="0"/>
                    <w:jc w:val="center"/>
                    <w:rPr>
                      <w:sz w:val="21"/>
                      <w:szCs w:val="21"/>
                    </w:rPr>
                  </w:pPr>
                  <w:r>
                    <w:rPr>
                      <w:sz w:val="21"/>
                      <w:szCs w:val="21"/>
                    </w:rPr>
                    <w:t>打桩机</w:t>
                  </w:r>
                </w:p>
              </w:tc>
              <w:tc>
                <w:tcPr>
                  <w:tcW w:w="1362" w:type="dxa"/>
                  <w:vAlign w:val="center"/>
                </w:tcPr>
                <w:p>
                  <w:pPr>
                    <w:snapToGrid w:val="0"/>
                    <w:jc w:val="center"/>
                    <w:rPr>
                      <w:sz w:val="21"/>
                      <w:szCs w:val="21"/>
                    </w:rPr>
                  </w:pPr>
                  <w:r>
                    <w:rPr>
                      <w:sz w:val="21"/>
                      <w:szCs w:val="21"/>
                    </w:rPr>
                    <w:t>78-96</w:t>
                  </w:r>
                </w:p>
                <w:p>
                  <w:pPr>
                    <w:snapToGrid w:val="0"/>
                    <w:jc w:val="center"/>
                    <w:rPr>
                      <w:sz w:val="21"/>
                      <w:szCs w:val="21"/>
                    </w:rPr>
                  </w:pPr>
                  <w:r>
                    <w:rPr>
                      <w:sz w:val="21"/>
                      <w:szCs w:val="21"/>
                    </w:rPr>
                    <w:t>95</w:t>
                  </w:r>
                </w:p>
                <w:p>
                  <w:pPr>
                    <w:snapToGrid w:val="0"/>
                    <w:jc w:val="center"/>
                    <w:rPr>
                      <w:sz w:val="21"/>
                      <w:szCs w:val="21"/>
                    </w:rPr>
                  </w:pPr>
                  <w:r>
                    <w:rPr>
                      <w:sz w:val="21"/>
                      <w:szCs w:val="21"/>
                    </w:rPr>
                    <w:t>75-85</w:t>
                  </w:r>
                </w:p>
                <w:p>
                  <w:pPr>
                    <w:snapToGrid w:val="0"/>
                    <w:jc w:val="center"/>
                    <w:rPr>
                      <w:sz w:val="21"/>
                      <w:szCs w:val="21"/>
                    </w:rPr>
                  </w:pPr>
                  <w:r>
                    <w:rPr>
                      <w:sz w:val="21"/>
                      <w:szCs w:val="21"/>
                    </w:rPr>
                    <w:t>95-105</w:t>
                  </w:r>
                </w:p>
              </w:tc>
              <w:tc>
                <w:tcPr>
                  <w:tcW w:w="1215" w:type="dxa"/>
                  <w:vMerge w:val="restart"/>
                  <w:vAlign w:val="center"/>
                </w:tcPr>
                <w:p>
                  <w:pPr>
                    <w:snapToGrid w:val="0"/>
                    <w:jc w:val="center"/>
                    <w:rPr>
                      <w:sz w:val="21"/>
                      <w:szCs w:val="21"/>
                    </w:rPr>
                  </w:pPr>
                  <w:r>
                    <w:rPr>
                      <w:sz w:val="21"/>
                      <w:szCs w:val="21"/>
                    </w:rPr>
                    <w:t>装修安装阶段</w:t>
                  </w:r>
                </w:p>
              </w:tc>
              <w:tc>
                <w:tcPr>
                  <w:tcW w:w="1706" w:type="dxa"/>
                  <w:vMerge w:val="restart"/>
                  <w:vAlign w:val="center"/>
                </w:tcPr>
                <w:p>
                  <w:pPr>
                    <w:snapToGrid w:val="0"/>
                    <w:jc w:val="center"/>
                    <w:rPr>
                      <w:sz w:val="21"/>
                      <w:szCs w:val="21"/>
                    </w:rPr>
                  </w:pPr>
                  <w:r>
                    <w:rPr>
                      <w:sz w:val="21"/>
                      <w:szCs w:val="21"/>
                    </w:rPr>
                    <w:t>电钻</w:t>
                  </w:r>
                </w:p>
                <w:p>
                  <w:pPr>
                    <w:snapToGrid w:val="0"/>
                    <w:jc w:val="center"/>
                    <w:rPr>
                      <w:sz w:val="21"/>
                      <w:szCs w:val="21"/>
                    </w:rPr>
                  </w:pPr>
                  <w:r>
                    <w:rPr>
                      <w:sz w:val="21"/>
                      <w:szCs w:val="21"/>
                    </w:rPr>
                    <w:t>电锤</w:t>
                  </w:r>
                </w:p>
                <w:p>
                  <w:pPr>
                    <w:snapToGrid w:val="0"/>
                    <w:jc w:val="center"/>
                    <w:rPr>
                      <w:sz w:val="21"/>
                      <w:szCs w:val="21"/>
                    </w:rPr>
                  </w:pPr>
                  <w:r>
                    <w:rPr>
                      <w:sz w:val="21"/>
                      <w:szCs w:val="21"/>
                    </w:rPr>
                    <w:t>手工钻</w:t>
                  </w:r>
                </w:p>
                <w:p>
                  <w:pPr>
                    <w:snapToGrid w:val="0"/>
                    <w:jc w:val="center"/>
                    <w:rPr>
                      <w:sz w:val="21"/>
                      <w:szCs w:val="21"/>
                    </w:rPr>
                  </w:pPr>
                  <w:r>
                    <w:rPr>
                      <w:sz w:val="21"/>
                      <w:szCs w:val="21"/>
                    </w:rPr>
                    <w:t>无齿锯</w:t>
                  </w:r>
                </w:p>
                <w:p>
                  <w:pPr>
                    <w:snapToGrid w:val="0"/>
                    <w:jc w:val="center"/>
                    <w:rPr>
                      <w:sz w:val="21"/>
                      <w:szCs w:val="21"/>
                    </w:rPr>
                  </w:pPr>
                  <w:r>
                    <w:rPr>
                      <w:sz w:val="21"/>
                      <w:szCs w:val="21"/>
                    </w:rPr>
                    <w:t>多功能木工刨</w:t>
                  </w:r>
                </w:p>
                <w:p>
                  <w:pPr>
                    <w:snapToGrid w:val="0"/>
                    <w:jc w:val="center"/>
                    <w:rPr>
                      <w:sz w:val="21"/>
                      <w:szCs w:val="21"/>
                    </w:rPr>
                  </w:pPr>
                  <w:r>
                    <w:rPr>
                      <w:sz w:val="21"/>
                      <w:szCs w:val="21"/>
                    </w:rPr>
                    <w:t>角向磨光机</w:t>
                  </w:r>
                </w:p>
              </w:tc>
              <w:tc>
                <w:tcPr>
                  <w:tcW w:w="1502" w:type="dxa"/>
                  <w:vMerge w:val="restart"/>
                  <w:vAlign w:val="center"/>
                </w:tcPr>
                <w:p>
                  <w:pPr>
                    <w:snapToGrid w:val="0"/>
                    <w:jc w:val="center"/>
                    <w:rPr>
                      <w:sz w:val="21"/>
                      <w:szCs w:val="21"/>
                    </w:rPr>
                  </w:pPr>
                  <w:r>
                    <w:rPr>
                      <w:sz w:val="21"/>
                      <w:szCs w:val="21"/>
                    </w:rPr>
                    <w:t>90-115</w:t>
                  </w:r>
                </w:p>
                <w:p>
                  <w:pPr>
                    <w:snapToGrid w:val="0"/>
                    <w:jc w:val="center"/>
                    <w:rPr>
                      <w:sz w:val="21"/>
                      <w:szCs w:val="21"/>
                    </w:rPr>
                  </w:pPr>
                  <w:r>
                    <w:rPr>
                      <w:sz w:val="21"/>
                      <w:szCs w:val="21"/>
                    </w:rPr>
                    <w:t>100-105</w:t>
                  </w:r>
                </w:p>
                <w:p>
                  <w:pPr>
                    <w:snapToGrid w:val="0"/>
                    <w:jc w:val="center"/>
                    <w:rPr>
                      <w:sz w:val="21"/>
                      <w:szCs w:val="21"/>
                    </w:rPr>
                  </w:pPr>
                  <w:r>
                    <w:rPr>
                      <w:sz w:val="21"/>
                      <w:szCs w:val="21"/>
                    </w:rPr>
                    <w:t>100-105</w:t>
                  </w:r>
                </w:p>
                <w:p>
                  <w:pPr>
                    <w:snapToGrid w:val="0"/>
                    <w:jc w:val="center"/>
                    <w:rPr>
                      <w:sz w:val="21"/>
                      <w:szCs w:val="21"/>
                    </w:rPr>
                  </w:pPr>
                  <w:r>
                    <w:rPr>
                      <w:sz w:val="21"/>
                      <w:szCs w:val="21"/>
                    </w:rPr>
                    <w:t>105</w:t>
                  </w:r>
                </w:p>
                <w:p>
                  <w:pPr>
                    <w:snapToGrid w:val="0"/>
                    <w:jc w:val="center"/>
                    <w:rPr>
                      <w:sz w:val="21"/>
                      <w:szCs w:val="21"/>
                    </w:rPr>
                  </w:pPr>
                  <w:r>
                    <w:rPr>
                      <w:sz w:val="21"/>
                      <w:szCs w:val="21"/>
                    </w:rPr>
                    <w:t>90-100</w:t>
                  </w:r>
                </w:p>
                <w:p>
                  <w:pPr>
                    <w:snapToGrid w:val="0"/>
                    <w:jc w:val="center"/>
                    <w:rPr>
                      <w:sz w:val="21"/>
                      <w:szCs w:val="21"/>
                    </w:rPr>
                  </w:pPr>
                  <w:r>
                    <w:rPr>
                      <w:sz w:val="21"/>
                      <w:szCs w:val="21"/>
                    </w:rPr>
                    <w:t>100-115</w:t>
                  </w:r>
                </w:p>
              </w:tc>
            </w:tr>
            <w:tr>
              <w:tblPrEx>
                <w:tblBorders>
                  <w:top w:val="single" w:color="auto" w:sz="8" w:space="0"/>
                  <w:left w:val="single" w:color="auto" w:sz="4" w:space="0"/>
                  <w:bottom w:val="single" w:color="auto" w:sz="8"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4" w:hRule="atLeast"/>
              </w:trPr>
              <w:tc>
                <w:tcPr>
                  <w:tcW w:w="1476" w:type="dxa"/>
                  <w:vAlign w:val="center"/>
                </w:tcPr>
                <w:p>
                  <w:pPr>
                    <w:snapToGrid w:val="0"/>
                    <w:jc w:val="center"/>
                    <w:rPr>
                      <w:sz w:val="21"/>
                      <w:szCs w:val="21"/>
                    </w:rPr>
                  </w:pPr>
                  <w:r>
                    <w:rPr>
                      <w:sz w:val="21"/>
                      <w:szCs w:val="21"/>
                    </w:rPr>
                    <w:t>底板与结构阶段</w:t>
                  </w:r>
                </w:p>
              </w:tc>
              <w:tc>
                <w:tcPr>
                  <w:tcW w:w="1745" w:type="dxa"/>
                  <w:vAlign w:val="center"/>
                </w:tcPr>
                <w:p>
                  <w:pPr>
                    <w:snapToGrid w:val="0"/>
                    <w:jc w:val="center"/>
                    <w:rPr>
                      <w:sz w:val="21"/>
                      <w:szCs w:val="21"/>
                    </w:rPr>
                  </w:pPr>
                  <w:r>
                    <w:rPr>
                      <w:sz w:val="21"/>
                      <w:szCs w:val="21"/>
                    </w:rPr>
                    <w:t>电锯</w:t>
                  </w:r>
                </w:p>
                <w:p>
                  <w:pPr>
                    <w:snapToGrid w:val="0"/>
                    <w:jc w:val="center"/>
                    <w:rPr>
                      <w:sz w:val="21"/>
                      <w:szCs w:val="21"/>
                    </w:rPr>
                  </w:pPr>
                  <w:r>
                    <w:rPr>
                      <w:sz w:val="21"/>
                      <w:szCs w:val="21"/>
                    </w:rPr>
                    <w:t>电焊机</w:t>
                  </w:r>
                </w:p>
                <w:p>
                  <w:pPr>
                    <w:snapToGrid w:val="0"/>
                    <w:jc w:val="center"/>
                    <w:rPr>
                      <w:sz w:val="21"/>
                      <w:szCs w:val="21"/>
                    </w:rPr>
                  </w:pPr>
                  <w:r>
                    <w:rPr>
                      <w:sz w:val="21"/>
                      <w:szCs w:val="21"/>
                    </w:rPr>
                    <w:t>空压机</w:t>
                  </w:r>
                </w:p>
              </w:tc>
              <w:tc>
                <w:tcPr>
                  <w:tcW w:w="1362" w:type="dxa"/>
                  <w:vAlign w:val="center"/>
                </w:tcPr>
                <w:p>
                  <w:pPr>
                    <w:snapToGrid w:val="0"/>
                    <w:jc w:val="center"/>
                    <w:rPr>
                      <w:sz w:val="21"/>
                      <w:szCs w:val="21"/>
                    </w:rPr>
                  </w:pPr>
                  <w:r>
                    <w:rPr>
                      <w:sz w:val="21"/>
                      <w:szCs w:val="21"/>
                    </w:rPr>
                    <w:t>90-110</w:t>
                  </w:r>
                </w:p>
                <w:p>
                  <w:pPr>
                    <w:snapToGrid w:val="0"/>
                    <w:jc w:val="center"/>
                    <w:rPr>
                      <w:sz w:val="21"/>
                      <w:szCs w:val="21"/>
                    </w:rPr>
                  </w:pPr>
                  <w:r>
                    <w:rPr>
                      <w:sz w:val="21"/>
                      <w:szCs w:val="21"/>
                    </w:rPr>
                    <w:t>90-95</w:t>
                  </w:r>
                </w:p>
                <w:p>
                  <w:pPr>
                    <w:snapToGrid w:val="0"/>
                    <w:jc w:val="center"/>
                    <w:rPr>
                      <w:sz w:val="21"/>
                      <w:szCs w:val="21"/>
                    </w:rPr>
                  </w:pPr>
                  <w:r>
                    <w:rPr>
                      <w:sz w:val="21"/>
                      <w:szCs w:val="21"/>
                    </w:rPr>
                    <w:t>90-100</w:t>
                  </w:r>
                </w:p>
              </w:tc>
              <w:tc>
                <w:tcPr>
                  <w:tcW w:w="1215" w:type="dxa"/>
                  <w:vMerge w:val="continue"/>
                  <w:vAlign w:val="center"/>
                </w:tcPr>
                <w:p>
                  <w:pPr>
                    <w:adjustRightInd w:val="0"/>
                    <w:snapToGrid w:val="0"/>
                    <w:spacing w:line="320" w:lineRule="exact"/>
                    <w:jc w:val="center"/>
                    <w:rPr>
                      <w:szCs w:val="21"/>
                    </w:rPr>
                  </w:pPr>
                </w:p>
              </w:tc>
              <w:tc>
                <w:tcPr>
                  <w:tcW w:w="1706" w:type="dxa"/>
                  <w:vMerge w:val="continue"/>
                  <w:vAlign w:val="center"/>
                </w:tcPr>
                <w:p>
                  <w:pPr>
                    <w:adjustRightInd w:val="0"/>
                    <w:snapToGrid w:val="0"/>
                    <w:spacing w:line="320" w:lineRule="exact"/>
                    <w:jc w:val="center"/>
                    <w:rPr>
                      <w:szCs w:val="21"/>
                    </w:rPr>
                  </w:pPr>
                </w:p>
              </w:tc>
              <w:tc>
                <w:tcPr>
                  <w:tcW w:w="1502" w:type="dxa"/>
                  <w:vMerge w:val="continue"/>
                  <w:vAlign w:val="center"/>
                </w:tcPr>
                <w:p>
                  <w:pPr>
                    <w:adjustRightInd w:val="0"/>
                    <w:snapToGrid w:val="0"/>
                    <w:spacing w:line="320" w:lineRule="exact"/>
                    <w:jc w:val="center"/>
                    <w:rPr>
                      <w:szCs w:val="21"/>
                    </w:rPr>
                  </w:pPr>
                </w:p>
              </w:tc>
            </w:tr>
          </w:tbl>
          <w:p>
            <w:pPr>
              <w:spacing w:line="360" w:lineRule="auto"/>
              <w:ind w:firstLine="480" w:firstLineChars="200"/>
              <w:rPr>
                <w:sz w:val="24"/>
              </w:rPr>
            </w:pPr>
            <w:r>
              <w:rPr>
                <w:kern w:val="0"/>
                <w:sz w:val="24"/>
              </w:rPr>
              <w:t>本项目噪声设备分散，大多为不连续性噪声；由于是采用单元操作的方式进行，不能对施工噪声源作出明确的定位，会在一定程度上影响施工噪声预测的准确性。为此，本评价在根据噪声预测模式中对不同施工阶段的噪声衰减情况进行预测时，采用最不利原则，噪声源强取各阶段发生频率最高、源强最大叠加值。</w:t>
            </w:r>
          </w:p>
          <w:p>
            <w:pPr>
              <w:spacing w:line="360" w:lineRule="auto"/>
              <w:ind w:firstLine="480" w:firstLineChars="200"/>
              <w:rPr>
                <w:rFonts w:hint="eastAsia"/>
                <w:kern w:val="0"/>
                <w:sz w:val="24"/>
              </w:rPr>
            </w:pPr>
            <w:r>
              <w:rPr>
                <w:kern w:val="0"/>
                <w:sz w:val="24"/>
              </w:rPr>
              <w:t>由于施工机械产生的噪声主要属中、低频噪声，因此在预测其影响时只考虑其扩散衰减。根据有关资料介绍，施工噪声随距离增加而衰减，采用的声级衰减模式为：</w:t>
            </w:r>
          </w:p>
          <w:p>
            <w:pPr>
              <w:spacing w:line="360" w:lineRule="auto"/>
              <w:ind w:firstLine="480" w:firstLineChars="200"/>
              <w:rPr>
                <w:rFonts w:hint="eastAsia"/>
                <w:kern w:val="0"/>
                <w:sz w:val="24"/>
              </w:rPr>
            </w:pPr>
            <w:r>
              <w:rPr>
                <w:rFonts w:hint="eastAsia"/>
                <w:kern w:val="0"/>
                <w:sz w:val="24"/>
              </w:rPr>
              <w:t>⑴声源几何发散衰减的基本公式</w:t>
            </w:r>
          </w:p>
          <w:p>
            <w:pPr>
              <w:spacing w:line="360" w:lineRule="auto"/>
              <w:ind w:firstLine="482" w:firstLineChars="200"/>
              <w:jc w:val="center"/>
              <w:rPr>
                <w:rFonts w:hint="eastAsia"/>
                <w:b/>
                <w:i/>
                <w:iCs/>
                <w:sz w:val="24"/>
              </w:rPr>
            </w:pPr>
            <w:r>
              <w:rPr>
                <w:b/>
                <w:i/>
                <w:iCs/>
                <w:sz w:val="24"/>
              </w:rPr>
              <w:t>L</w:t>
            </w:r>
            <w:r>
              <w:rPr>
                <w:b/>
                <w:i/>
                <w:iCs/>
                <w:sz w:val="24"/>
                <w:vertAlign w:val="subscript"/>
              </w:rPr>
              <w:t>Ai</w:t>
            </w:r>
            <w:r>
              <w:rPr>
                <w:rFonts w:hint="eastAsia"/>
                <w:b/>
                <w:i/>
                <w:iCs/>
                <w:sz w:val="24"/>
              </w:rPr>
              <w:t>=L</w:t>
            </w:r>
            <w:r>
              <w:rPr>
                <w:rFonts w:hint="eastAsia"/>
                <w:b/>
                <w:i/>
                <w:iCs/>
                <w:sz w:val="24"/>
                <w:vertAlign w:val="subscript"/>
              </w:rPr>
              <w:t>p</w:t>
            </w:r>
            <w:r>
              <w:rPr>
                <w:rFonts w:hint="eastAsia"/>
                <w:b/>
                <w:i/>
                <w:iCs/>
                <w:sz w:val="24"/>
              </w:rPr>
              <w:t>(r</w:t>
            </w:r>
            <w:r>
              <w:rPr>
                <w:rFonts w:hint="eastAsia"/>
                <w:b/>
                <w:i/>
                <w:iCs/>
                <w:sz w:val="24"/>
                <w:vertAlign w:val="subscript"/>
              </w:rPr>
              <w:t>0</w:t>
            </w:r>
            <w:r>
              <w:rPr>
                <w:rFonts w:hint="eastAsia"/>
                <w:b/>
                <w:i/>
                <w:iCs/>
                <w:sz w:val="24"/>
              </w:rPr>
              <w:t>)-20lg(r/r</w:t>
            </w:r>
            <w:r>
              <w:rPr>
                <w:rFonts w:hint="eastAsia"/>
                <w:b/>
                <w:i/>
                <w:iCs/>
                <w:sz w:val="24"/>
                <w:vertAlign w:val="subscript"/>
              </w:rPr>
              <w:t>0</w:t>
            </w:r>
            <w:r>
              <w:rPr>
                <w:rFonts w:hint="eastAsia"/>
                <w:b/>
                <w:i/>
                <w:iCs/>
                <w:sz w:val="24"/>
              </w:rPr>
              <w:t>)</w:t>
            </w:r>
          </w:p>
          <w:p>
            <w:pPr>
              <w:autoSpaceDE w:val="0"/>
              <w:autoSpaceDN w:val="0"/>
              <w:adjustRightInd w:val="0"/>
              <w:spacing w:line="360" w:lineRule="auto"/>
              <w:ind w:firstLine="514" w:firstLineChars="214"/>
              <w:rPr>
                <w:sz w:val="24"/>
              </w:rPr>
            </w:pPr>
            <w:r>
              <w:rPr>
                <w:rFonts w:hint="eastAsia"/>
                <w:i/>
                <w:iCs/>
                <w:sz w:val="24"/>
              </w:rPr>
              <w:t>式中：</w:t>
            </w:r>
            <w:r>
              <w:rPr>
                <w:b/>
                <w:i/>
                <w:iCs/>
                <w:sz w:val="24"/>
              </w:rPr>
              <w:t>L</w:t>
            </w:r>
            <w:r>
              <w:rPr>
                <w:b/>
                <w:i/>
                <w:iCs/>
                <w:sz w:val="24"/>
                <w:vertAlign w:val="subscript"/>
              </w:rPr>
              <w:t>Ai</w:t>
            </w:r>
            <w:r>
              <w:rPr>
                <w:sz w:val="24"/>
              </w:rPr>
              <w:t>—声源在预测点产生的A声级，dB(A)；</w:t>
            </w:r>
          </w:p>
          <w:p>
            <w:pPr>
              <w:spacing w:line="360" w:lineRule="auto"/>
              <w:ind w:firstLine="1075" w:firstLineChars="446"/>
              <w:rPr>
                <w:rFonts w:hint="eastAsia"/>
                <w:b/>
                <w:i/>
                <w:iCs/>
                <w:sz w:val="24"/>
              </w:rPr>
            </w:pPr>
            <w:r>
              <w:rPr>
                <w:rFonts w:hint="eastAsia"/>
                <w:b/>
                <w:i/>
                <w:iCs/>
                <w:sz w:val="24"/>
              </w:rPr>
              <w:t>r</w:t>
            </w:r>
            <w:r>
              <w:rPr>
                <w:sz w:val="24"/>
              </w:rPr>
              <w:t>—声源在预测点</w:t>
            </w:r>
            <w:r>
              <w:rPr>
                <w:rFonts w:hint="eastAsia"/>
                <w:sz w:val="24"/>
              </w:rPr>
              <w:t>的距离</w:t>
            </w:r>
            <w:r>
              <w:rPr>
                <w:sz w:val="24"/>
              </w:rPr>
              <w:t>，</w:t>
            </w:r>
            <w:r>
              <w:rPr>
                <w:rFonts w:hint="eastAsia"/>
                <w:sz w:val="24"/>
              </w:rPr>
              <w:t>m</w:t>
            </w:r>
            <w:r>
              <w:rPr>
                <w:sz w:val="24"/>
              </w:rPr>
              <w:t>；</w:t>
            </w:r>
          </w:p>
          <w:p>
            <w:pPr>
              <w:spacing w:line="360" w:lineRule="auto"/>
              <w:ind w:firstLine="1075" w:firstLineChars="446"/>
              <w:rPr>
                <w:rFonts w:hint="eastAsia"/>
                <w:b/>
                <w:i/>
                <w:iCs/>
                <w:sz w:val="24"/>
              </w:rPr>
            </w:pPr>
            <w:r>
              <w:rPr>
                <w:rFonts w:hint="eastAsia"/>
                <w:b/>
                <w:i/>
                <w:iCs/>
                <w:sz w:val="24"/>
              </w:rPr>
              <w:t>r</w:t>
            </w:r>
            <w:r>
              <w:rPr>
                <w:rFonts w:hint="eastAsia"/>
                <w:b/>
                <w:i/>
                <w:iCs/>
                <w:sz w:val="24"/>
                <w:vertAlign w:val="subscript"/>
              </w:rPr>
              <w:t>0</w:t>
            </w:r>
            <w:r>
              <w:rPr>
                <w:sz w:val="24"/>
              </w:rPr>
              <w:t>—声源</w:t>
            </w:r>
            <w:r>
              <w:rPr>
                <w:rFonts w:hint="eastAsia"/>
                <w:sz w:val="24"/>
              </w:rPr>
              <w:t>强度</w:t>
            </w:r>
            <w:r>
              <w:rPr>
                <w:sz w:val="24"/>
              </w:rPr>
              <w:t>测点</w:t>
            </w:r>
            <w:r>
              <w:rPr>
                <w:rFonts w:hint="eastAsia"/>
                <w:sz w:val="24"/>
              </w:rPr>
              <w:t>与声源的距离</w:t>
            </w:r>
            <w:r>
              <w:rPr>
                <w:sz w:val="24"/>
              </w:rPr>
              <w:t>，</w:t>
            </w:r>
            <w:r>
              <w:rPr>
                <w:rFonts w:hint="eastAsia"/>
                <w:sz w:val="24"/>
              </w:rPr>
              <w:t>m。</w:t>
            </w:r>
          </w:p>
          <w:p>
            <w:pPr>
              <w:tabs>
                <w:tab w:val="left" w:pos="2910"/>
              </w:tabs>
              <w:spacing w:line="360" w:lineRule="auto"/>
              <w:ind w:firstLine="413" w:firstLineChars="172"/>
              <w:rPr>
                <w:rFonts w:hint="eastAsia"/>
                <w:sz w:val="24"/>
              </w:rPr>
            </w:pPr>
            <w:r>
              <w:rPr>
                <w:rFonts w:hint="eastAsia" w:ascii="宋体" w:hAnsi="宋体" w:cs="宋体"/>
                <w:sz w:val="24"/>
              </w:rPr>
              <w:t>⑵</w:t>
            </w:r>
            <w:r>
              <w:rPr>
                <w:sz w:val="24"/>
              </w:rPr>
              <w:t>建设项目声源在预测点产生的等效声级贡献值（L</w:t>
            </w:r>
            <w:r>
              <w:rPr>
                <w:sz w:val="24"/>
                <w:vertAlign w:val="subscript"/>
              </w:rPr>
              <w:t>eqg</w:t>
            </w:r>
            <w:r>
              <w:rPr>
                <w:sz w:val="24"/>
              </w:rPr>
              <w:t>）计算公式：</w:t>
            </w:r>
          </w:p>
          <w:p>
            <w:pPr>
              <w:tabs>
                <w:tab w:val="left" w:pos="2910"/>
              </w:tabs>
              <w:spacing w:line="360" w:lineRule="auto"/>
              <w:ind w:firstLine="482"/>
              <w:jc w:val="center"/>
              <w:rPr>
                <w:szCs w:val="28"/>
              </w:rPr>
            </w:pPr>
            <w:r>
              <w:rPr>
                <w:szCs w:val="28"/>
              </w:rPr>
              <w:drawing>
                <wp:inline distT="0" distB="0" distL="114300" distR="114300">
                  <wp:extent cx="1991995" cy="633730"/>
                  <wp:effectExtent l="0" t="0" r="4445" b="635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7"/>
                          <a:stretch>
                            <a:fillRect/>
                          </a:stretch>
                        </pic:blipFill>
                        <pic:spPr>
                          <a:xfrm>
                            <a:off x="0" y="0"/>
                            <a:ext cx="1991995" cy="633730"/>
                          </a:xfrm>
                          <a:prstGeom prst="rect">
                            <a:avLst/>
                          </a:prstGeom>
                          <a:noFill/>
                          <a:ln w="9525">
                            <a:noFill/>
                            <a:miter/>
                          </a:ln>
                        </pic:spPr>
                      </pic:pic>
                    </a:graphicData>
                  </a:graphic>
                </wp:inline>
              </w:drawing>
            </w:r>
          </w:p>
          <w:p>
            <w:pPr>
              <w:autoSpaceDE w:val="0"/>
              <w:autoSpaceDN w:val="0"/>
              <w:adjustRightInd w:val="0"/>
              <w:spacing w:line="360" w:lineRule="auto"/>
              <w:ind w:firstLine="514" w:firstLineChars="214"/>
              <w:rPr>
                <w:sz w:val="24"/>
              </w:rPr>
            </w:pPr>
            <w:r>
              <w:rPr>
                <w:sz w:val="24"/>
              </w:rPr>
              <w:t>式中：</w:t>
            </w:r>
            <w:r>
              <w:rPr>
                <w:b/>
                <w:i/>
                <w:sz w:val="24"/>
              </w:rPr>
              <w:t>L</w:t>
            </w:r>
            <w:r>
              <w:rPr>
                <w:b/>
                <w:i/>
                <w:sz w:val="24"/>
                <w:vertAlign w:val="subscript"/>
              </w:rPr>
              <w:t>eqg</w:t>
            </w:r>
            <w:r>
              <w:rPr>
                <w:sz w:val="24"/>
              </w:rPr>
              <w:t xml:space="preserve">—建设项目声源在预测点的等效声级贡献值，dB(A)； </w:t>
            </w:r>
          </w:p>
          <w:p>
            <w:pPr>
              <w:autoSpaceDE w:val="0"/>
              <w:autoSpaceDN w:val="0"/>
              <w:adjustRightInd w:val="0"/>
              <w:spacing w:line="360" w:lineRule="auto"/>
              <w:ind w:firstLine="1113" w:firstLineChars="462"/>
              <w:rPr>
                <w:sz w:val="24"/>
              </w:rPr>
            </w:pPr>
            <w:r>
              <w:rPr>
                <w:b/>
                <w:i/>
                <w:iCs/>
                <w:sz w:val="24"/>
              </w:rPr>
              <w:t>L</w:t>
            </w:r>
            <w:r>
              <w:rPr>
                <w:b/>
                <w:i/>
                <w:iCs/>
                <w:sz w:val="24"/>
                <w:vertAlign w:val="subscript"/>
              </w:rPr>
              <w:t>A</w:t>
            </w:r>
            <w:r>
              <w:rPr>
                <w:i/>
                <w:iCs/>
                <w:sz w:val="24"/>
                <w:vertAlign w:val="subscript"/>
              </w:rPr>
              <w:t>i</w:t>
            </w:r>
            <w:r>
              <w:rPr>
                <w:sz w:val="24"/>
              </w:rPr>
              <w:t>—声源在预测点产生的A声级，dB(A)；</w:t>
            </w:r>
          </w:p>
          <w:p>
            <w:pPr>
              <w:autoSpaceDE w:val="0"/>
              <w:autoSpaceDN w:val="0"/>
              <w:adjustRightInd w:val="0"/>
              <w:spacing w:line="360" w:lineRule="auto"/>
              <w:ind w:firstLine="1113" w:firstLineChars="462"/>
              <w:rPr>
                <w:sz w:val="24"/>
              </w:rPr>
            </w:pPr>
            <w:r>
              <w:rPr>
                <w:b/>
                <w:i/>
                <w:iCs/>
                <w:sz w:val="24"/>
              </w:rPr>
              <w:t>T</w:t>
            </w:r>
            <w:r>
              <w:rPr>
                <w:sz w:val="24"/>
              </w:rPr>
              <w:t>— 预测计算的时间段，s；</w:t>
            </w:r>
          </w:p>
          <w:p>
            <w:pPr>
              <w:autoSpaceDE w:val="0"/>
              <w:autoSpaceDN w:val="0"/>
              <w:adjustRightInd w:val="0"/>
              <w:spacing w:line="360" w:lineRule="auto"/>
              <w:ind w:firstLine="1113" w:firstLineChars="462"/>
              <w:rPr>
                <w:sz w:val="24"/>
              </w:rPr>
            </w:pPr>
            <w:r>
              <w:rPr>
                <w:b/>
                <w:i/>
                <w:iCs/>
                <w:sz w:val="24"/>
              </w:rPr>
              <w:t>t</w:t>
            </w:r>
            <w:r>
              <w:rPr>
                <w:b/>
                <w:i/>
                <w:iCs/>
                <w:sz w:val="24"/>
                <w:vertAlign w:val="subscript"/>
              </w:rPr>
              <w:t>i</w:t>
            </w:r>
            <w:r>
              <w:rPr>
                <w:sz w:val="24"/>
              </w:rPr>
              <w:t>—</w:t>
            </w:r>
            <w:r>
              <w:rPr>
                <w:i/>
                <w:iCs/>
                <w:sz w:val="24"/>
              </w:rPr>
              <w:t>i</w:t>
            </w:r>
            <w:r>
              <w:rPr>
                <w:sz w:val="24"/>
              </w:rPr>
              <w:t xml:space="preserve">声源在T时段内的运行时间，s。 </w:t>
            </w:r>
          </w:p>
          <w:p>
            <w:pPr>
              <w:autoSpaceDE w:val="0"/>
              <w:autoSpaceDN w:val="0"/>
              <w:adjustRightInd w:val="0"/>
              <w:spacing w:line="360" w:lineRule="auto"/>
              <w:ind w:firstLine="514" w:firstLineChars="214"/>
              <w:rPr>
                <w:sz w:val="24"/>
              </w:rPr>
            </w:pPr>
            <w:r>
              <w:rPr>
                <w:rFonts w:hint="eastAsia" w:ascii="宋体" w:hAnsi="宋体" w:cs="宋体"/>
                <w:sz w:val="24"/>
              </w:rPr>
              <w:t>⑶</w:t>
            </w:r>
            <w:r>
              <w:rPr>
                <w:sz w:val="24"/>
              </w:rPr>
              <w:t>预测点的预测等效声级(</w:t>
            </w:r>
            <w:r>
              <w:rPr>
                <w:i/>
                <w:iCs/>
                <w:sz w:val="24"/>
              </w:rPr>
              <w:t>Leq</w:t>
            </w:r>
            <w:r>
              <w:rPr>
                <w:sz w:val="24"/>
              </w:rPr>
              <w:t xml:space="preserve">)计算公式： </w:t>
            </w:r>
          </w:p>
          <w:p>
            <w:pPr>
              <w:autoSpaceDE w:val="0"/>
              <w:autoSpaceDN w:val="0"/>
              <w:adjustRightInd w:val="0"/>
              <w:spacing w:before="142" w:beforeLines="50" w:line="360" w:lineRule="auto"/>
              <w:ind w:right="561"/>
              <w:jc w:val="center"/>
              <w:rPr>
                <w:szCs w:val="28"/>
              </w:rPr>
            </w:pPr>
            <w:r>
              <w:rPr>
                <w:szCs w:val="28"/>
              </w:rPr>
              <w:drawing>
                <wp:inline distT="0" distB="0" distL="114300" distR="114300">
                  <wp:extent cx="2390775" cy="419100"/>
                  <wp:effectExtent l="0" t="0" r="1905"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8"/>
                          <a:stretch>
                            <a:fillRect/>
                          </a:stretch>
                        </pic:blipFill>
                        <pic:spPr>
                          <a:xfrm>
                            <a:off x="0" y="0"/>
                            <a:ext cx="2390775" cy="419100"/>
                          </a:xfrm>
                          <a:prstGeom prst="rect">
                            <a:avLst/>
                          </a:prstGeom>
                          <a:noFill/>
                          <a:ln w="9525">
                            <a:noFill/>
                            <a:miter/>
                          </a:ln>
                        </pic:spPr>
                      </pic:pic>
                    </a:graphicData>
                  </a:graphic>
                </wp:inline>
              </w:drawing>
            </w:r>
          </w:p>
          <w:p>
            <w:pPr>
              <w:autoSpaceDE w:val="0"/>
              <w:autoSpaceDN w:val="0"/>
              <w:adjustRightInd w:val="0"/>
              <w:spacing w:line="360" w:lineRule="auto"/>
              <w:ind w:right="840" w:firstLine="514" w:firstLineChars="214"/>
              <w:rPr>
                <w:sz w:val="24"/>
              </w:rPr>
            </w:pPr>
            <w:r>
              <w:rPr>
                <w:sz w:val="24"/>
              </w:rPr>
              <w:t>式中：</w:t>
            </w:r>
            <w:r>
              <w:rPr>
                <w:b/>
                <w:i/>
                <w:iCs/>
                <w:sz w:val="24"/>
              </w:rPr>
              <w:t>L</w:t>
            </w:r>
            <w:r>
              <w:rPr>
                <w:b/>
                <w:i/>
                <w:iCs/>
                <w:sz w:val="24"/>
                <w:vertAlign w:val="subscript"/>
              </w:rPr>
              <w:t>eqg</w:t>
            </w:r>
            <w:r>
              <w:rPr>
                <w:sz w:val="24"/>
              </w:rPr>
              <w:t>—建设项目声源在预测点的等效声级贡献值，dB(A)；</w:t>
            </w:r>
          </w:p>
          <w:p>
            <w:pPr>
              <w:spacing w:line="360" w:lineRule="auto"/>
              <w:ind w:firstLine="1205" w:firstLineChars="500"/>
              <w:rPr>
                <w:sz w:val="24"/>
              </w:rPr>
            </w:pPr>
            <w:r>
              <w:rPr>
                <w:b/>
                <w:i/>
                <w:iCs/>
                <w:sz w:val="24"/>
              </w:rPr>
              <w:t>L</w:t>
            </w:r>
            <w:r>
              <w:rPr>
                <w:b/>
                <w:i/>
                <w:iCs/>
                <w:sz w:val="24"/>
                <w:vertAlign w:val="subscript"/>
              </w:rPr>
              <w:t>eqb</w:t>
            </w:r>
            <w:r>
              <w:rPr>
                <w:sz w:val="24"/>
              </w:rPr>
              <w:t>— 预测点的背景值，dB(A)。</w:t>
            </w:r>
          </w:p>
          <w:p>
            <w:pPr>
              <w:tabs>
                <w:tab w:val="left" w:pos="6920"/>
              </w:tabs>
              <w:spacing w:line="360" w:lineRule="auto"/>
              <w:ind w:firstLine="480" w:firstLineChars="200"/>
              <w:rPr>
                <w:kern w:val="0"/>
                <w:sz w:val="24"/>
              </w:rPr>
            </w:pPr>
            <w:r>
              <w:rPr>
                <w:kern w:val="0"/>
                <w:sz w:val="24"/>
              </w:rPr>
              <w:t>施工场地噪声预测结果见下表</w:t>
            </w:r>
            <w:r>
              <w:rPr>
                <w:rFonts w:hint="eastAsia"/>
                <w:kern w:val="0"/>
                <w:sz w:val="24"/>
              </w:rPr>
              <w:t>33</w:t>
            </w:r>
            <w:r>
              <w:rPr>
                <w:kern w:val="0"/>
                <w:sz w:val="24"/>
              </w:rPr>
              <w:t>。</w:t>
            </w:r>
          </w:p>
          <w:p>
            <w:pPr>
              <w:tabs>
                <w:tab w:val="left" w:pos="6920"/>
              </w:tabs>
              <w:spacing w:line="360" w:lineRule="auto"/>
              <w:ind w:left="-67"/>
              <w:jc w:val="center"/>
              <w:rPr>
                <w:kern w:val="0"/>
                <w:sz w:val="24"/>
              </w:rPr>
            </w:pPr>
            <w:r>
              <w:rPr>
                <w:rFonts w:hint="eastAsia"/>
                <w:kern w:val="0"/>
                <w:sz w:val="24"/>
              </w:rPr>
              <w:t>表33</w:t>
            </w:r>
            <w:r>
              <w:rPr>
                <w:kern w:val="0"/>
                <w:sz w:val="24"/>
              </w:rPr>
              <w:t>距声源不同距离处的噪声值一览表  单位：dB(A)</w:t>
            </w:r>
          </w:p>
          <w:tbl>
            <w:tblPr>
              <w:tblStyle w:val="34"/>
              <w:tblW w:w="89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747"/>
              <w:gridCol w:w="733"/>
              <w:gridCol w:w="733"/>
              <w:gridCol w:w="733"/>
              <w:gridCol w:w="733"/>
              <w:gridCol w:w="733"/>
              <w:gridCol w:w="733"/>
              <w:gridCol w:w="733"/>
              <w:gridCol w:w="733"/>
              <w:gridCol w:w="733"/>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tblHeader/>
              </w:trPr>
              <w:tc>
                <w:tcPr>
                  <w:tcW w:w="909" w:type="dxa"/>
                  <w:vMerge w:val="restart"/>
                  <w:vAlign w:val="center"/>
                </w:tcPr>
                <w:p>
                  <w:pPr>
                    <w:snapToGrid w:val="0"/>
                    <w:jc w:val="center"/>
                    <w:rPr>
                      <w:sz w:val="21"/>
                      <w:szCs w:val="21"/>
                    </w:rPr>
                  </w:pPr>
                  <w:r>
                    <w:rPr>
                      <w:sz w:val="21"/>
                      <w:szCs w:val="21"/>
                    </w:rPr>
                    <w:t>名称</w:t>
                  </w:r>
                </w:p>
              </w:tc>
              <w:tc>
                <w:tcPr>
                  <w:tcW w:w="747" w:type="dxa"/>
                  <w:vMerge w:val="restart"/>
                  <w:vAlign w:val="center"/>
                </w:tcPr>
                <w:p>
                  <w:pPr>
                    <w:snapToGrid w:val="0"/>
                    <w:jc w:val="center"/>
                    <w:rPr>
                      <w:sz w:val="21"/>
                      <w:szCs w:val="21"/>
                    </w:rPr>
                  </w:pPr>
                  <w:r>
                    <w:rPr>
                      <w:sz w:val="21"/>
                      <w:szCs w:val="21"/>
                    </w:rPr>
                    <w:t>源强</w:t>
                  </w:r>
                </w:p>
              </w:tc>
              <w:tc>
                <w:tcPr>
                  <w:tcW w:w="7335" w:type="dxa"/>
                  <w:gridSpan w:val="10"/>
                  <w:vAlign w:val="center"/>
                </w:tcPr>
                <w:p>
                  <w:pPr>
                    <w:snapToGrid w:val="0"/>
                    <w:jc w:val="center"/>
                    <w:rPr>
                      <w:sz w:val="21"/>
                      <w:szCs w:val="21"/>
                    </w:rPr>
                  </w:pPr>
                  <w:r>
                    <w:rPr>
                      <w:sz w:val="21"/>
                      <w:szCs w:val="21"/>
                    </w:rPr>
                    <w:t>距声源不同距离处的噪声值dB(A)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tblHeader/>
              </w:trPr>
              <w:tc>
                <w:tcPr>
                  <w:tcW w:w="909" w:type="dxa"/>
                  <w:vMerge w:val="continue"/>
                  <w:vAlign w:val="center"/>
                </w:tcPr>
                <w:p>
                  <w:pPr>
                    <w:snapToGrid w:val="0"/>
                    <w:jc w:val="center"/>
                    <w:rPr>
                      <w:sz w:val="21"/>
                      <w:szCs w:val="21"/>
                    </w:rPr>
                  </w:pPr>
                </w:p>
              </w:tc>
              <w:tc>
                <w:tcPr>
                  <w:tcW w:w="747" w:type="dxa"/>
                  <w:vMerge w:val="continue"/>
                  <w:vAlign w:val="center"/>
                </w:tcPr>
                <w:p>
                  <w:pPr>
                    <w:snapToGrid w:val="0"/>
                    <w:jc w:val="center"/>
                    <w:rPr>
                      <w:sz w:val="21"/>
                      <w:szCs w:val="21"/>
                    </w:rPr>
                  </w:pPr>
                </w:p>
              </w:tc>
              <w:tc>
                <w:tcPr>
                  <w:tcW w:w="733" w:type="dxa"/>
                  <w:vAlign w:val="center"/>
                </w:tcPr>
                <w:p>
                  <w:pPr>
                    <w:snapToGrid w:val="0"/>
                    <w:jc w:val="center"/>
                    <w:rPr>
                      <w:sz w:val="21"/>
                      <w:szCs w:val="21"/>
                    </w:rPr>
                  </w:pPr>
                  <w:r>
                    <w:rPr>
                      <w:sz w:val="21"/>
                      <w:szCs w:val="21"/>
                    </w:rPr>
                    <w:t>20m</w:t>
                  </w:r>
                </w:p>
              </w:tc>
              <w:tc>
                <w:tcPr>
                  <w:tcW w:w="733" w:type="dxa"/>
                  <w:vAlign w:val="center"/>
                </w:tcPr>
                <w:p>
                  <w:pPr>
                    <w:snapToGrid w:val="0"/>
                    <w:jc w:val="center"/>
                    <w:rPr>
                      <w:sz w:val="21"/>
                      <w:szCs w:val="21"/>
                    </w:rPr>
                  </w:pPr>
                  <w:r>
                    <w:rPr>
                      <w:sz w:val="21"/>
                      <w:szCs w:val="21"/>
                    </w:rPr>
                    <w:t>40m</w:t>
                  </w:r>
                </w:p>
              </w:tc>
              <w:tc>
                <w:tcPr>
                  <w:tcW w:w="733" w:type="dxa"/>
                  <w:vAlign w:val="center"/>
                </w:tcPr>
                <w:p>
                  <w:pPr>
                    <w:snapToGrid w:val="0"/>
                    <w:jc w:val="center"/>
                    <w:rPr>
                      <w:sz w:val="21"/>
                      <w:szCs w:val="21"/>
                    </w:rPr>
                  </w:pPr>
                  <w:r>
                    <w:rPr>
                      <w:sz w:val="21"/>
                      <w:szCs w:val="21"/>
                    </w:rPr>
                    <w:t>60m</w:t>
                  </w:r>
                </w:p>
              </w:tc>
              <w:tc>
                <w:tcPr>
                  <w:tcW w:w="733" w:type="dxa"/>
                  <w:vAlign w:val="center"/>
                </w:tcPr>
                <w:p>
                  <w:pPr>
                    <w:snapToGrid w:val="0"/>
                    <w:jc w:val="center"/>
                    <w:rPr>
                      <w:sz w:val="21"/>
                      <w:szCs w:val="21"/>
                    </w:rPr>
                  </w:pPr>
                  <w:r>
                    <w:rPr>
                      <w:sz w:val="21"/>
                      <w:szCs w:val="21"/>
                    </w:rPr>
                    <w:t>80m</w:t>
                  </w:r>
                </w:p>
              </w:tc>
              <w:tc>
                <w:tcPr>
                  <w:tcW w:w="733" w:type="dxa"/>
                  <w:vAlign w:val="center"/>
                </w:tcPr>
                <w:p>
                  <w:pPr>
                    <w:snapToGrid w:val="0"/>
                    <w:jc w:val="center"/>
                    <w:rPr>
                      <w:sz w:val="21"/>
                      <w:szCs w:val="21"/>
                    </w:rPr>
                  </w:pPr>
                  <w:r>
                    <w:rPr>
                      <w:sz w:val="21"/>
                      <w:szCs w:val="21"/>
                    </w:rPr>
                    <w:t>100m</w:t>
                  </w:r>
                </w:p>
              </w:tc>
              <w:tc>
                <w:tcPr>
                  <w:tcW w:w="733" w:type="dxa"/>
                  <w:vAlign w:val="center"/>
                </w:tcPr>
                <w:p>
                  <w:pPr>
                    <w:snapToGrid w:val="0"/>
                    <w:jc w:val="center"/>
                    <w:rPr>
                      <w:sz w:val="21"/>
                      <w:szCs w:val="21"/>
                    </w:rPr>
                  </w:pPr>
                  <w:r>
                    <w:rPr>
                      <w:sz w:val="21"/>
                      <w:szCs w:val="21"/>
                    </w:rPr>
                    <w:t>150m</w:t>
                  </w:r>
                </w:p>
              </w:tc>
              <w:tc>
                <w:tcPr>
                  <w:tcW w:w="733" w:type="dxa"/>
                  <w:vAlign w:val="center"/>
                </w:tcPr>
                <w:p>
                  <w:pPr>
                    <w:snapToGrid w:val="0"/>
                    <w:jc w:val="center"/>
                    <w:rPr>
                      <w:sz w:val="21"/>
                      <w:szCs w:val="21"/>
                    </w:rPr>
                  </w:pPr>
                  <w:r>
                    <w:rPr>
                      <w:sz w:val="21"/>
                      <w:szCs w:val="21"/>
                    </w:rPr>
                    <w:t>200m</w:t>
                  </w:r>
                </w:p>
              </w:tc>
              <w:tc>
                <w:tcPr>
                  <w:tcW w:w="733" w:type="dxa"/>
                  <w:vAlign w:val="center"/>
                </w:tcPr>
                <w:p>
                  <w:pPr>
                    <w:snapToGrid w:val="0"/>
                    <w:jc w:val="center"/>
                    <w:rPr>
                      <w:sz w:val="21"/>
                      <w:szCs w:val="21"/>
                    </w:rPr>
                  </w:pPr>
                  <w:r>
                    <w:rPr>
                      <w:sz w:val="21"/>
                      <w:szCs w:val="21"/>
                    </w:rPr>
                    <w:t>300m</w:t>
                  </w:r>
                </w:p>
              </w:tc>
              <w:tc>
                <w:tcPr>
                  <w:tcW w:w="733" w:type="dxa"/>
                  <w:vAlign w:val="center"/>
                </w:tcPr>
                <w:p>
                  <w:pPr>
                    <w:snapToGrid w:val="0"/>
                    <w:jc w:val="center"/>
                    <w:rPr>
                      <w:sz w:val="21"/>
                      <w:szCs w:val="21"/>
                    </w:rPr>
                  </w:pPr>
                  <w:r>
                    <w:rPr>
                      <w:sz w:val="21"/>
                      <w:szCs w:val="21"/>
                    </w:rPr>
                    <w:t>400m</w:t>
                  </w:r>
                </w:p>
              </w:tc>
              <w:tc>
                <w:tcPr>
                  <w:tcW w:w="738" w:type="dxa"/>
                  <w:vAlign w:val="center"/>
                </w:tcPr>
                <w:p>
                  <w:pPr>
                    <w:snapToGrid w:val="0"/>
                    <w:jc w:val="center"/>
                    <w:rPr>
                      <w:sz w:val="21"/>
                      <w:szCs w:val="21"/>
                    </w:rPr>
                  </w:pPr>
                  <w:r>
                    <w:rPr>
                      <w:sz w:val="21"/>
                      <w:szCs w:val="21"/>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推土机</w:t>
                  </w:r>
                </w:p>
              </w:tc>
              <w:tc>
                <w:tcPr>
                  <w:tcW w:w="747" w:type="dxa"/>
                  <w:vAlign w:val="center"/>
                </w:tcPr>
                <w:p>
                  <w:pPr>
                    <w:snapToGrid w:val="0"/>
                    <w:jc w:val="center"/>
                    <w:rPr>
                      <w:sz w:val="21"/>
                      <w:szCs w:val="21"/>
                    </w:rPr>
                  </w:pPr>
                  <w:r>
                    <w:rPr>
                      <w:sz w:val="21"/>
                      <w:szCs w:val="21"/>
                    </w:rPr>
                    <w:t>94</w:t>
                  </w:r>
                </w:p>
              </w:tc>
              <w:tc>
                <w:tcPr>
                  <w:tcW w:w="733" w:type="dxa"/>
                  <w:vAlign w:val="center"/>
                </w:tcPr>
                <w:p>
                  <w:pPr>
                    <w:snapToGrid w:val="0"/>
                    <w:jc w:val="center"/>
                    <w:rPr>
                      <w:sz w:val="21"/>
                      <w:szCs w:val="21"/>
                    </w:rPr>
                  </w:pPr>
                  <w:r>
                    <w:rPr>
                      <w:sz w:val="21"/>
                      <w:szCs w:val="21"/>
                    </w:rPr>
                    <w:t>68</w:t>
                  </w:r>
                </w:p>
              </w:tc>
              <w:tc>
                <w:tcPr>
                  <w:tcW w:w="733" w:type="dxa"/>
                  <w:vAlign w:val="center"/>
                </w:tcPr>
                <w:p>
                  <w:pPr>
                    <w:snapToGrid w:val="0"/>
                    <w:jc w:val="center"/>
                    <w:rPr>
                      <w:sz w:val="21"/>
                      <w:szCs w:val="21"/>
                    </w:rPr>
                  </w:pPr>
                  <w:r>
                    <w:rPr>
                      <w:sz w:val="21"/>
                      <w:szCs w:val="21"/>
                    </w:rPr>
                    <w:t>62</w:t>
                  </w:r>
                </w:p>
              </w:tc>
              <w:tc>
                <w:tcPr>
                  <w:tcW w:w="733" w:type="dxa"/>
                  <w:vAlign w:val="center"/>
                </w:tcPr>
                <w:p>
                  <w:pPr>
                    <w:snapToGrid w:val="0"/>
                    <w:jc w:val="center"/>
                    <w:rPr>
                      <w:sz w:val="21"/>
                      <w:szCs w:val="21"/>
                    </w:rPr>
                  </w:pPr>
                  <w:r>
                    <w:rPr>
                      <w:sz w:val="21"/>
                      <w:szCs w:val="21"/>
                    </w:rPr>
                    <w:t>58</w:t>
                  </w:r>
                </w:p>
              </w:tc>
              <w:tc>
                <w:tcPr>
                  <w:tcW w:w="733" w:type="dxa"/>
                  <w:vAlign w:val="center"/>
                </w:tcPr>
                <w:p>
                  <w:pPr>
                    <w:snapToGrid w:val="0"/>
                    <w:jc w:val="center"/>
                    <w:rPr>
                      <w:sz w:val="21"/>
                      <w:szCs w:val="21"/>
                    </w:rPr>
                  </w:pPr>
                  <w:r>
                    <w:rPr>
                      <w:sz w:val="21"/>
                      <w:szCs w:val="21"/>
                    </w:rPr>
                    <w:t>56</w:t>
                  </w:r>
                </w:p>
              </w:tc>
              <w:tc>
                <w:tcPr>
                  <w:tcW w:w="733" w:type="dxa"/>
                  <w:vAlign w:val="center"/>
                </w:tcPr>
                <w:p>
                  <w:pPr>
                    <w:snapToGrid w:val="0"/>
                    <w:jc w:val="center"/>
                    <w:rPr>
                      <w:sz w:val="21"/>
                      <w:szCs w:val="21"/>
                    </w:rPr>
                  </w:pPr>
                  <w:r>
                    <w:rPr>
                      <w:sz w:val="21"/>
                      <w:szCs w:val="21"/>
                    </w:rPr>
                    <w:t>54</w:t>
                  </w:r>
                </w:p>
              </w:tc>
              <w:tc>
                <w:tcPr>
                  <w:tcW w:w="733" w:type="dxa"/>
                  <w:vAlign w:val="center"/>
                </w:tcPr>
                <w:p>
                  <w:pPr>
                    <w:snapToGrid w:val="0"/>
                    <w:jc w:val="center"/>
                    <w:rPr>
                      <w:sz w:val="21"/>
                      <w:szCs w:val="21"/>
                    </w:rPr>
                  </w:pPr>
                  <w:r>
                    <w:rPr>
                      <w:sz w:val="21"/>
                      <w:szCs w:val="21"/>
                    </w:rPr>
                    <w:t>50</w:t>
                  </w:r>
                </w:p>
              </w:tc>
              <w:tc>
                <w:tcPr>
                  <w:tcW w:w="733" w:type="dxa"/>
                  <w:vAlign w:val="center"/>
                </w:tcPr>
                <w:p>
                  <w:pPr>
                    <w:snapToGrid w:val="0"/>
                    <w:jc w:val="center"/>
                    <w:rPr>
                      <w:sz w:val="21"/>
                      <w:szCs w:val="21"/>
                    </w:rPr>
                  </w:pPr>
                  <w:r>
                    <w:rPr>
                      <w:sz w:val="21"/>
                      <w:szCs w:val="21"/>
                    </w:rPr>
                    <w:t>48</w:t>
                  </w:r>
                </w:p>
              </w:tc>
              <w:tc>
                <w:tcPr>
                  <w:tcW w:w="733" w:type="dxa"/>
                  <w:vAlign w:val="center"/>
                </w:tcPr>
                <w:p>
                  <w:pPr>
                    <w:snapToGrid w:val="0"/>
                    <w:jc w:val="center"/>
                    <w:rPr>
                      <w:sz w:val="21"/>
                      <w:szCs w:val="21"/>
                    </w:rPr>
                  </w:pPr>
                  <w:r>
                    <w:rPr>
                      <w:sz w:val="21"/>
                      <w:szCs w:val="21"/>
                    </w:rPr>
                    <w:t>44</w:t>
                  </w:r>
                </w:p>
              </w:tc>
              <w:tc>
                <w:tcPr>
                  <w:tcW w:w="733" w:type="dxa"/>
                  <w:vAlign w:val="center"/>
                </w:tcPr>
                <w:p>
                  <w:pPr>
                    <w:snapToGrid w:val="0"/>
                    <w:jc w:val="center"/>
                    <w:rPr>
                      <w:sz w:val="21"/>
                      <w:szCs w:val="21"/>
                    </w:rPr>
                  </w:pPr>
                  <w:r>
                    <w:rPr>
                      <w:sz w:val="21"/>
                      <w:szCs w:val="21"/>
                    </w:rPr>
                    <w:t>42</w:t>
                  </w:r>
                </w:p>
              </w:tc>
              <w:tc>
                <w:tcPr>
                  <w:tcW w:w="738" w:type="dxa"/>
                  <w:vAlign w:val="center"/>
                </w:tcPr>
                <w:p>
                  <w:pPr>
                    <w:snapToGrid w:val="0"/>
                    <w:jc w:val="center"/>
                    <w:rPr>
                      <w:sz w:val="21"/>
                      <w:szCs w:val="21"/>
                    </w:rPr>
                  </w:pPr>
                  <w:r>
                    <w:rPr>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挖掘机</w:t>
                  </w:r>
                </w:p>
              </w:tc>
              <w:tc>
                <w:tcPr>
                  <w:tcW w:w="747" w:type="dxa"/>
                  <w:vAlign w:val="center"/>
                </w:tcPr>
                <w:p>
                  <w:pPr>
                    <w:snapToGrid w:val="0"/>
                    <w:jc w:val="center"/>
                    <w:rPr>
                      <w:sz w:val="21"/>
                      <w:szCs w:val="21"/>
                    </w:rPr>
                  </w:pPr>
                  <w:r>
                    <w:rPr>
                      <w:sz w:val="21"/>
                      <w:szCs w:val="21"/>
                    </w:rPr>
                    <w:t>95</w:t>
                  </w:r>
                </w:p>
              </w:tc>
              <w:tc>
                <w:tcPr>
                  <w:tcW w:w="733" w:type="dxa"/>
                  <w:vAlign w:val="center"/>
                </w:tcPr>
                <w:p>
                  <w:pPr>
                    <w:snapToGrid w:val="0"/>
                    <w:jc w:val="center"/>
                    <w:rPr>
                      <w:sz w:val="21"/>
                      <w:szCs w:val="21"/>
                    </w:rPr>
                  </w:pPr>
                  <w:r>
                    <w:rPr>
                      <w:sz w:val="21"/>
                      <w:szCs w:val="21"/>
                    </w:rPr>
                    <w:t>69</w:t>
                  </w:r>
                </w:p>
              </w:tc>
              <w:tc>
                <w:tcPr>
                  <w:tcW w:w="733" w:type="dxa"/>
                  <w:vAlign w:val="center"/>
                </w:tcPr>
                <w:p>
                  <w:pPr>
                    <w:snapToGrid w:val="0"/>
                    <w:jc w:val="center"/>
                    <w:rPr>
                      <w:sz w:val="21"/>
                      <w:szCs w:val="21"/>
                    </w:rPr>
                  </w:pPr>
                  <w:r>
                    <w:rPr>
                      <w:sz w:val="21"/>
                      <w:szCs w:val="21"/>
                    </w:rPr>
                    <w:t>63</w:t>
                  </w:r>
                </w:p>
              </w:tc>
              <w:tc>
                <w:tcPr>
                  <w:tcW w:w="733" w:type="dxa"/>
                  <w:vAlign w:val="center"/>
                </w:tcPr>
                <w:p>
                  <w:pPr>
                    <w:snapToGrid w:val="0"/>
                    <w:jc w:val="center"/>
                    <w:rPr>
                      <w:sz w:val="21"/>
                      <w:szCs w:val="21"/>
                    </w:rPr>
                  </w:pPr>
                  <w:r>
                    <w:rPr>
                      <w:sz w:val="21"/>
                      <w:szCs w:val="21"/>
                    </w:rPr>
                    <w:t>59</w:t>
                  </w:r>
                </w:p>
              </w:tc>
              <w:tc>
                <w:tcPr>
                  <w:tcW w:w="733" w:type="dxa"/>
                  <w:vAlign w:val="center"/>
                </w:tcPr>
                <w:p>
                  <w:pPr>
                    <w:snapToGrid w:val="0"/>
                    <w:jc w:val="center"/>
                    <w:rPr>
                      <w:sz w:val="21"/>
                      <w:szCs w:val="21"/>
                    </w:rPr>
                  </w:pPr>
                  <w:r>
                    <w:rPr>
                      <w:sz w:val="21"/>
                      <w:szCs w:val="21"/>
                    </w:rPr>
                    <w:t>57</w:t>
                  </w:r>
                </w:p>
              </w:tc>
              <w:tc>
                <w:tcPr>
                  <w:tcW w:w="733" w:type="dxa"/>
                  <w:vAlign w:val="center"/>
                </w:tcPr>
                <w:p>
                  <w:pPr>
                    <w:snapToGrid w:val="0"/>
                    <w:jc w:val="center"/>
                    <w:rPr>
                      <w:sz w:val="21"/>
                      <w:szCs w:val="21"/>
                    </w:rPr>
                  </w:pPr>
                  <w:r>
                    <w:rPr>
                      <w:sz w:val="21"/>
                      <w:szCs w:val="21"/>
                    </w:rPr>
                    <w:t>55</w:t>
                  </w:r>
                </w:p>
              </w:tc>
              <w:tc>
                <w:tcPr>
                  <w:tcW w:w="733" w:type="dxa"/>
                  <w:vAlign w:val="center"/>
                </w:tcPr>
                <w:p>
                  <w:pPr>
                    <w:snapToGrid w:val="0"/>
                    <w:jc w:val="center"/>
                    <w:rPr>
                      <w:sz w:val="21"/>
                      <w:szCs w:val="21"/>
                    </w:rPr>
                  </w:pPr>
                  <w:r>
                    <w:rPr>
                      <w:sz w:val="21"/>
                      <w:szCs w:val="21"/>
                    </w:rPr>
                    <w:t>51</w:t>
                  </w:r>
                </w:p>
              </w:tc>
              <w:tc>
                <w:tcPr>
                  <w:tcW w:w="733" w:type="dxa"/>
                  <w:vAlign w:val="center"/>
                </w:tcPr>
                <w:p>
                  <w:pPr>
                    <w:snapToGrid w:val="0"/>
                    <w:jc w:val="center"/>
                    <w:rPr>
                      <w:sz w:val="21"/>
                      <w:szCs w:val="21"/>
                    </w:rPr>
                  </w:pPr>
                  <w:r>
                    <w:rPr>
                      <w:sz w:val="21"/>
                      <w:szCs w:val="21"/>
                    </w:rPr>
                    <w:t>49</w:t>
                  </w:r>
                </w:p>
              </w:tc>
              <w:tc>
                <w:tcPr>
                  <w:tcW w:w="733" w:type="dxa"/>
                  <w:vAlign w:val="center"/>
                </w:tcPr>
                <w:p>
                  <w:pPr>
                    <w:snapToGrid w:val="0"/>
                    <w:jc w:val="center"/>
                    <w:rPr>
                      <w:sz w:val="21"/>
                      <w:szCs w:val="21"/>
                    </w:rPr>
                  </w:pPr>
                  <w:r>
                    <w:rPr>
                      <w:sz w:val="21"/>
                      <w:szCs w:val="21"/>
                    </w:rPr>
                    <w:t>45</w:t>
                  </w:r>
                </w:p>
              </w:tc>
              <w:tc>
                <w:tcPr>
                  <w:tcW w:w="733" w:type="dxa"/>
                  <w:vAlign w:val="center"/>
                </w:tcPr>
                <w:p>
                  <w:pPr>
                    <w:snapToGrid w:val="0"/>
                    <w:jc w:val="center"/>
                    <w:rPr>
                      <w:sz w:val="21"/>
                      <w:szCs w:val="21"/>
                    </w:rPr>
                  </w:pPr>
                  <w:r>
                    <w:rPr>
                      <w:sz w:val="21"/>
                      <w:szCs w:val="21"/>
                    </w:rPr>
                    <w:t>43</w:t>
                  </w:r>
                </w:p>
              </w:tc>
              <w:tc>
                <w:tcPr>
                  <w:tcW w:w="738" w:type="dxa"/>
                  <w:vAlign w:val="center"/>
                </w:tcPr>
                <w:p>
                  <w:pPr>
                    <w:snapToGrid w:val="0"/>
                    <w:jc w:val="center"/>
                    <w:rPr>
                      <w:sz w:val="21"/>
                      <w:szCs w:val="21"/>
                    </w:rPr>
                  </w:pPr>
                  <w:r>
                    <w:rPr>
                      <w:sz w:val="21"/>
                      <w:szCs w:val="21"/>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装载机</w:t>
                  </w:r>
                </w:p>
              </w:tc>
              <w:tc>
                <w:tcPr>
                  <w:tcW w:w="747" w:type="dxa"/>
                  <w:vAlign w:val="center"/>
                </w:tcPr>
                <w:p>
                  <w:pPr>
                    <w:snapToGrid w:val="0"/>
                    <w:jc w:val="center"/>
                    <w:rPr>
                      <w:sz w:val="21"/>
                      <w:szCs w:val="21"/>
                    </w:rPr>
                  </w:pPr>
                  <w:r>
                    <w:rPr>
                      <w:sz w:val="21"/>
                      <w:szCs w:val="21"/>
                    </w:rPr>
                    <w:t>84</w:t>
                  </w:r>
                </w:p>
              </w:tc>
              <w:tc>
                <w:tcPr>
                  <w:tcW w:w="733" w:type="dxa"/>
                  <w:vAlign w:val="center"/>
                </w:tcPr>
                <w:p>
                  <w:pPr>
                    <w:snapToGrid w:val="0"/>
                    <w:jc w:val="center"/>
                    <w:rPr>
                      <w:sz w:val="21"/>
                      <w:szCs w:val="21"/>
                    </w:rPr>
                  </w:pPr>
                  <w:r>
                    <w:rPr>
                      <w:sz w:val="21"/>
                      <w:szCs w:val="21"/>
                    </w:rPr>
                    <w:t>58</w:t>
                  </w:r>
                </w:p>
              </w:tc>
              <w:tc>
                <w:tcPr>
                  <w:tcW w:w="733" w:type="dxa"/>
                  <w:vAlign w:val="center"/>
                </w:tcPr>
                <w:p>
                  <w:pPr>
                    <w:snapToGrid w:val="0"/>
                    <w:jc w:val="center"/>
                    <w:rPr>
                      <w:sz w:val="21"/>
                      <w:szCs w:val="21"/>
                    </w:rPr>
                  </w:pPr>
                  <w:r>
                    <w:rPr>
                      <w:sz w:val="21"/>
                      <w:szCs w:val="21"/>
                    </w:rPr>
                    <w:t>52</w:t>
                  </w:r>
                </w:p>
              </w:tc>
              <w:tc>
                <w:tcPr>
                  <w:tcW w:w="733" w:type="dxa"/>
                  <w:vAlign w:val="center"/>
                </w:tcPr>
                <w:p>
                  <w:pPr>
                    <w:snapToGrid w:val="0"/>
                    <w:jc w:val="center"/>
                    <w:rPr>
                      <w:sz w:val="21"/>
                      <w:szCs w:val="21"/>
                    </w:rPr>
                  </w:pPr>
                  <w:r>
                    <w:rPr>
                      <w:sz w:val="21"/>
                      <w:szCs w:val="21"/>
                    </w:rPr>
                    <w:t>48</w:t>
                  </w:r>
                </w:p>
              </w:tc>
              <w:tc>
                <w:tcPr>
                  <w:tcW w:w="733" w:type="dxa"/>
                  <w:vAlign w:val="center"/>
                </w:tcPr>
                <w:p>
                  <w:pPr>
                    <w:snapToGrid w:val="0"/>
                    <w:jc w:val="center"/>
                    <w:rPr>
                      <w:sz w:val="21"/>
                      <w:szCs w:val="21"/>
                    </w:rPr>
                  </w:pPr>
                  <w:r>
                    <w:rPr>
                      <w:sz w:val="21"/>
                      <w:szCs w:val="21"/>
                    </w:rPr>
                    <w:t>46</w:t>
                  </w:r>
                </w:p>
              </w:tc>
              <w:tc>
                <w:tcPr>
                  <w:tcW w:w="733" w:type="dxa"/>
                  <w:vAlign w:val="center"/>
                </w:tcPr>
                <w:p>
                  <w:pPr>
                    <w:snapToGrid w:val="0"/>
                    <w:jc w:val="center"/>
                    <w:rPr>
                      <w:sz w:val="21"/>
                      <w:szCs w:val="21"/>
                    </w:rPr>
                  </w:pPr>
                  <w:r>
                    <w:rPr>
                      <w:sz w:val="21"/>
                      <w:szCs w:val="21"/>
                    </w:rPr>
                    <w:t>44</w:t>
                  </w:r>
                </w:p>
              </w:tc>
              <w:tc>
                <w:tcPr>
                  <w:tcW w:w="733" w:type="dxa"/>
                  <w:vAlign w:val="center"/>
                </w:tcPr>
                <w:p>
                  <w:pPr>
                    <w:snapToGrid w:val="0"/>
                    <w:jc w:val="center"/>
                    <w:rPr>
                      <w:sz w:val="21"/>
                      <w:szCs w:val="21"/>
                    </w:rPr>
                  </w:pPr>
                  <w:r>
                    <w:rPr>
                      <w:sz w:val="21"/>
                      <w:szCs w:val="21"/>
                    </w:rPr>
                    <w:t>40</w:t>
                  </w:r>
                </w:p>
              </w:tc>
              <w:tc>
                <w:tcPr>
                  <w:tcW w:w="733" w:type="dxa"/>
                  <w:vAlign w:val="center"/>
                </w:tcPr>
                <w:p>
                  <w:pPr>
                    <w:snapToGrid w:val="0"/>
                    <w:jc w:val="center"/>
                    <w:rPr>
                      <w:sz w:val="21"/>
                      <w:szCs w:val="21"/>
                    </w:rPr>
                  </w:pPr>
                  <w:r>
                    <w:rPr>
                      <w:sz w:val="21"/>
                      <w:szCs w:val="21"/>
                    </w:rPr>
                    <w:t>—</w:t>
                  </w:r>
                </w:p>
              </w:tc>
              <w:tc>
                <w:tcPr>
                  <w:tcW w:w="733" w:type="dxa"/>
                  <w:vAlign w:val="center"/>
                </w:tcPr>
                <w:p>
                  <w:pPr>
                    <w:snapToGrid w:val="0"/>
                    <w:jc w:val="center"/>
                    <w:rPr>
                      <w:sz w:val="21"/>
                      <w:szCs w:val="21"/>
                    </w:rPr>
                  </w:pPr>
                  <w:r>
                    <w:rPr>
                      <w:sz w:val="21"/>
                      <w:szCs w:val="21"/>
                    </w:rPr>
                    <w:t>—</w:t>
                  </w:r>
                </w:p>
              </w:tc>
              <w:tc>
                <w:tcPr>
                  <w:tcW w:w="733" w:type="dxa"/>
                  <w:vAlign w:val="center"/>
                </w:tcPr>
                <w:p>
                  <w:pPr>
                    <w:snapToGrid w:val="0"/>
                    <w:jc w:val="center"/>
                    <w:rPr>
                      <w:sz w:val="21"/>
                      <w:szCs w:val="21"/>
                    </w:rPr>
                  </w:pPr>
                  <w:r>
                    <w:rPr>
                      <w:sz w:val="21"/>
                      <w:szCs w:val="21"/>
                    </w:rPr>
                    <w:t>—</w:t>
                  </w:r>
                </w:p>
              </w:tc>
              <w:tc>
                <w:tcPr>
                  <w:tcW w:w="738" w:type="dxa"/>
                  <w:vAlign w:val="center"/>
                </w:tcPr>
                <w:p>
                  <w:pPr>
                    <w:snapToGrid w:val="0"/>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电锯</w:t>
                  </w:r>
                </w:p>
              </w:tc>
              <w:tc>
                <w:tcPr>
                  <w:tcW w:w="747" w:type="dxa"/>
                  <w:vAlign w:val="center"/>
                </w:tcPr>
                <w:p>
                  <w:pPr>
                    <w:snapToGrid w:val="0"/>
                    <w:jc w:val="center"/>
                    <w:rPr>
                      <w:sz w:val="21"/>
                      <w:szCs w:val="21"/>
                    </w:rPr>
                  </w:pPr>
                  <w:r>
                    <w:rPr>
                      <w:sz w:val="21"/>
                      <w:szCs w:val="21"/>
                    </w:rPr>
                    <w:t>99</w:t>
                  </w:r>
                </w:p>
              </w:tc>
              <w:tc>
                <w:tcPr>
                  <w:tcW w:w="733" w:type="dxa"/>
                  <w:vAlign w:val="center"/>
                </w:tcPr>
                <w:p>
                  <w:pPr>
                    <w:snapToGrid w:val="0"/>
                    <w:jc w:val="center"/>
                    <w:rPr>
                      <w:sz w:val="21"/>
                      <w:szCs w:val="21"/>
                    </w:rPr>
                  </w:pPr>
                  <w:r>
                    <w:rPr>
                      <w:sz w:val="21"/>
                      <w:szCs w:val="21"/>
                    </w:rPr>
                    <w:t>73</w:t>
                  </w:r>
                </w:p>
              </w:tc>
              <w:tc>
                <w:tcPr>
                  <w:tcW w:w="733" w:type="dxa"/>
                  <w:vAlign w:val="center"/>
                </w:tcPr>
                <w:p>
                  <w:pPr>
                    <w:snapToGrid w:val="0"/>
                    <w:jc w:val="center"/>
                    <w:rPr>
                      <w:sz w:val="21"/>
                      <w:szCs w:val="21"/>
                    </w:rPr>
                  </w:pPr>
                  <w:r>
                    <w:rPr>
                      <w:sz w:val="21"/>
                      <w:szCs w:val="21"/>
                    </w:rPr>
                    <w:t>67</w:t>
                  </w:r>
                </w:p>
              </w:tc>
              <w:tc>
                <w:tcPr>
                  <w:tcW w:w="733" w:type="dxa"/>
                  <w:vAlign w:val="center"/>
                </w:tcPr>
                <w:p>
                  <w:pPr>
                    <w:snapToGrid w:val="0"/>
                    <w:jc w:val="center"/>
                    <w:rPr>
                      <w:sz w:val="21"/>
                      <w:szCs w:val="21"/>
                    </w:rPr>
                  </w:pPr>
                  <w:r>
                    <w:rPr>
                      <w:sz w:val="21"/>
                      <w:szCs w:val="21"/>
                    </w:rPr>
                    <w:t>63</w:t>
                  </w:r>
                </w:p>
              </w:tc>
              <w:tc>
                <w:tcPr>
                  <w:tcW w:w="733" w:type="dxa"/>
                  <w:vAlign w:val="center"/>
                </w:tcPr>
                <w:p>
                  <w:pPr>
                    <w:snapToGrid w:val="0"/>
                    <w:jc w:val="center"/>
                    <w:rPr>
                      <w:sz w:val="21"/>
                      <w:szCs w:val="21"/>
                    </w:rPr>
                  </w:pPr>
                  <w:r>
                    <w:rPr>
                      <w:sz w:val="21"/>
                      <w:szCs w:val="21"/>
                    </w:rPr>
                    <w:t>61</w:t>
                  </w:r>
                </w:p>
              </w:tc>
              <w:tc>
                <w:tcPr>
                  <w:tcW w:w="733" w:type="dxa"/>
                  <w:vAlign w:val="center"/>
                </w:tcPr>
                <w:p>
                  <w:pPr>
                    <w:snapToGrid w:val="0"/>
                    <w:jc w:val="center"/>
                    <w:rPr>
                      <w:sz w:val="21"/>
                      <w:szCs w:val="21"/>
                    </w:rPr>
                  </w:pPr>
                  <w:r>
                    <w:rPr>
                      <w:sz w:val="21"/>
                      <w:szCs w:val="21"/>
                    </w:rPr>
                    <w:t>59</w:t>
                  </w:r>
                </w:p>
              </w:tc>
              <w:tc>
                <w:tcPr>
                  <w:tcW w:w="733" w:type="dxa"/>
                  <w:vAlign w:val="center"/>
                </w:tcPr>
                <w:p>
                  <w:pPr>
                    <w:snapToGrid w:val="0"/>
                    <w:jc w:val="center"/>
                    <w:rPr>
                      <w:sz w:val="21"/>
                      <w:szCs w:val="21"/>
                    </w:rPr>
                  </w:pPr>
                  <w:r>
                    <w:rPr>
                      <w:sz w:val="21"/>
                      <w:szCs w:val="21"/>
                    </w:rPr>
                    <w:t>55</w:t>
                  </w:r>
                </w:p>
              </w:tc>
              <w:tc>
                <w:tcPr>
                  <w:tcW w:w="733" w:type="dxa"/>
                  <w:vAlign w:val="center"/>
                </w:tcPr>
                <w:p>
                  <w:pPr>
                    <w:snapToGrid w:val="0"/>
                    <w:jc w:val="center"/>
                    <w:rPr>
                      <w:sz w:val="21"/>
                      <w:szCs w:val="21"/>
                    </w:rPr>
                  </w:pPr>
                  <w:r>
                    <w:rPr>
                      <w:sz w:val="21"/>
                      <w:szCs w:val="21"/>
                    </w:rPr>
                    <w:t>53</w:t>
                  </w:r>
                </w:p>
              </w:tc>
              <w:tc>
                <w:tcPr>
                  <w:tcW w:w="733" w:type="dxa"/>
                  <w:vAlign w:val="center"/>
                </w:tcPr>
                <w:p>
                  <w:pPr>
                    <w:snapToGrid w:val="0"/>
                    <w:jc w:val="center"/>
                    <w:rPr>
                      <w:sz w:val="21"/>
                      <w:szCs w:val="21"/>
                    </w:rPr>
                  </w:pPr>
                  <w:r>
                    <w:rPr>
                      <w:sz w:val="21"/>
                      <w:szCs w:val="21"/>
                    </w:rPr>
                    <w:t>49</w:t>
                  </w:r>
                </w:p>
              </w:tc>
              <w:tc>
                <w:tcPr>
                  <w:tcW w:w="733" w:type="dxa"/>
                  <w:vAlign w:val="center"/>
                </w:tcPr>
                <w:p>
                  <w:pPr>
                    <w:snapToGrid w:val="0"/>
                    <w:jc w:val="center"/>
                    <w:rPr>
                      <w:sz w:val="21"/>
                      <w:szCs w:val="21"/>
                    </w:rPr>
                  </w:pPr>
                  <w:r>
                    <w:rPr>
                      <w:sz w:val="21"/>
                      <w:szCs w:val="21"/>
                    </w:rPr>
                    <w:t>47</w:t>
                  </w:r>
                </w:p>
              </w:tc>
              <w:tc>
                <w:tcPr>
                  <w:tcW w:w="738" w:type="dxa"/>
                  <w:vAlign w:val="center"/>
                </w:tcPr>
                <w:p>
                  <w:pPr>
                    <w:snapToGrid w:val="0"/>
                    <w:jc w:val="center"/>
                    <w:rPr>
                      <w:sz w:val="21"/>
                      <w:szCs w:val="21"/>
                    </w:rPr>
                  </w:pPr>
                  <w:r>
                    <w:rPr>
                      <w:sz w:val="21"/>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空压机</w:t>
                  </w:r>
                </w:p>
              </w:tc>
              <w:tc>
                <w:tcPr>
                  <w:tcW w:w="747" w:type="dxa"/>
                  <w:vAlign w:val="center"/>
                </w:tcPr>
                <w:p>
                  <w:pPr>
                    <w:snapToGrid w:val="0"/>
                    <w:jc w:val="center"/>
                    <w:rPr>
                      <w:sz w:val="21"/>
                      <w:szCs w:val="21"/>
                    </w:rPr>
                  </w:pPr>
                  <w:r>
                    <w:rPr>
                      <w:sz w:val="21"/>
                      <w:szCs w:val="21"/>
                    </w:rPr>
                    <w:t>92</w:t>
                  </w:r>
                </w:p>
              </w:tc>
              <w:tc>
                <w:tcPr>
                  <w:tcW w:w="733" w:type="dxa"/>
                  <w:vAlign w:val="center"/>
                </w:tcPr>
                <w:p>
                  <w:pPr>
                    <w:snapToGrid w:val="0"/>
                    <w:jc w:val="center"/>
                    <w:rPr>
                      <w:sz w:val="21"/>
                      <w:szCs w:val="21"/>
                    </w:rPr>
                  </w:pPr>
                  <w:r>
                    <w:rPr>
                      <w:sz w:val="21"/>
                      <w:szCs w:val="21"/>
                    </w:rPr>
                    <w:t>66</w:t>
                  </w:r>
                </w:p>
              </w:tc>
              <w:tc>
                <w:tcPr>
                  <w:tcW w:w="733" w:type="dxa"/>
                  <w:vAlign w:val="center"/>
                </w:tcPr>
                <w:p>
                  <w:pPr>
                    <w:snapToGrid w:val="0"/>
                    <w:jc w:val="center"/>
                    <w:rPr>
                      <w:sz w:val="21"/>
                      <w:szCs w:val="21"/>
                    </w:rPr>
                  </w:pPr>
                  <w:r>
                    <w:rPr>
                      <w:sz w:val="21"/>
                      <w:szCs w:val="21"/>
                    </w:rPr>
                    <w:t>60</w:t>
                  </w:r>
                </w:p>
              </w:tc>
              <w:tc>
                <w:tcPr>
                  <w:tcW w:w="733" w:type="dxa"/>
                  <w:vAlign w:val="center"/>
                </w:tcPr>
                <w:p>
                  <w:pPr>
                    <w:snapToGrid w:val="0"/>
                    <w:jc w:val="center"/>
                    <w:rPr>
                      <w:sz w:val="21"/>
                      <w:szCs w:val="21"/>
                    </w:rPr>
                  </w:pPr>
                  <w:r>
                    <w:rPr>
                      <w:sz w:val="21"/>
                      <w:szCs w:val="21"/>
                    </w:rPr>
                    <w:t>56</w:t>
                  </w:r>
                </w:p>
              </w:tc>
              <w:tc>
                <w:tcPr>
                  <w:tcW w:w="733" w:type="dxa"/>
                  <w:vAlign w:val="center"/>
                </w:tcPr>
                <w:p>
                  <w:pPr>
                    <w:snapToGrid w:val="0"/>
                    <w:jc w:val="center"/>
                    <w:rPr>
                      <w:sz w:val="21"/>
                      <w:szCs w:val="21"/>
                    </w:rPr>
                  </w:pPr>
                  <w:r>
                    <w:rPr>
                      <w:sz w:val="21"/>
                      <w:szCs w:val="21"/>
                    </w:rPr>
                    <w:t>54</w:t>
                  </w:r>
                </w:p>
              </w:tc>
              <w:tc>
                <w:tcPr>
                  <w:tcW w:w="733" w:type="dxa"/>
                  <w:vAlign w:val="center"/>
                </w:tcPr>
                <w:p>
                  <w:pPr>
                    <w:snapToGrid w:val="0"/>
                    <w:jc w:val="center"/>
                    <w:rPr>
                      <w:sz w:val="21"/>
                      <w:szCs w:val="21"/>
                    </w:rPr>
                  </w:pPr>
                  <w:r>
                    <w:rPr>
                      <w:sz w:val="21"/>
                      <w:szCs w:val="21"/>
                    </w:rPr>
                    <w:t>52</w:t>
                  </w:r>
                </w:p>
              </w:tc>
              <w:tc>
                <w:tcPr>
                  <w:tcW w:w="733" w:type="dxa"/>
                  <w:vAlign w:val="center"/>
                </w:tcPr>
                <w:p>
                  <w:pPr>
                    <w:snapToGrid w:val="0"/>
                    <w:jc w:val="center"/>
                    <w:rPr>
                      <w:sz w:val="21"/>
                      <w:szCs w:val="21"/>
                    </w:rPr>
                  </w:pPr>
                  <w:r>
                    <w:rPr>
                      <w:sz w:val="21"/>
                      <w:szCs w:val="21"/>
                    </w:rPr>
                    <w:t>48</w:t>
                  </w:r>
                </w:p>
              </w:tc>
              <w:tc>
                <w:tcPr>
                  <w:tcW w:w="733" w:type="dxa"/>
                  <w:vAlign w:val="center"/>
                </w:tcPr>
                <w:p>
                  <w:pPr>
                    <w:snapToGrid w:val="0"/>
                    <w:jc w:val="center"/>
                    <w:rPr>
                      <w:sz w:val="21"/>
                      <w:szCs w:val="21"/>
                    </w:rPr>
                  </w:pPr>
                  <w:r>
                    <w:rPr>
                      <w:sz w:val="21"/>
                      <w:szCs w:val="21"/>
                    </w:rPr>
                    <w:t>46</w:t>
                  </w:r>
                </w:p>
              </w:tc>
              <w:tc>
                <w:tcPr>
                  <w:tcW w:w="733" w:type="dxa"/>
                  <w:vAlign w:val="center"/>
                </w:tcPr>
                <w:p>
                  <w:pPr>
                    <w:snapToGrid w:val="0"/>
                    <w:jc w:val="center"/>
                    <w:rPr>
                      <w:sz w:val="21"/>
                      <w:szCs w:val="21"/>
                    </w:rPr>
                  </w:pPr>
                  <w:r>
                    <w:rPr>
                      <w:sz w:val="21"/>
                      <w:szCs w:val="21"/>
                    </w:rPr>
                    <w:t>42</w:t>
                  </w:r>
                </w:p>
              </w:tc>
              <w:tc>
                <w:tcPr>
                  <w:tcW w:w="733" w:type="dxa"/>
                  <w:vAlign w:val="center"/>
                </w:tcPr>
                <w:p>
                  <w:pPr>
                    <w:snapToGrid w:val="0"/>
                    <w:jc w:val="center"/>
                    <w:rPr>
                      <w:sz w:val="21"/>
                      <w:szCs w:val="21"/>
                    </w:rPr>
                  </w:pPr>
                  <w:r>
                    <w:rPr>
                      <w:sz w:val="21"/>
                      <w:szCs w:val="21"/>
                    </w:rPr>
                    <w:t>—</w:t>
                  </w:r>
                </w:p>
              </w:tc>
              <w:tc>
                <w:tcPr>
                  <w:tcW w:w="738" w:type="dxa"/>
                  <w:vAlign w:val="center"/>
                </w:tcPr>
                <w:p>
                  <w:pPr>
                    <w:snapToGrid w:val="0"/>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电钻</w:t>
                  </w:r>
                </w:p>
              </w:tc>
              <w:tc>
                <w:tcPr>
                  <w:tcW w:w="747" w:type="dxa"/>
                  <w:vAlign w:val="center"/>
                </w:tcPr>
                <w:p>
                  <w:pPr>
                    <w:snapToGrid w:val="0"/>
                    <w:jc w:val="center"/>
                    <w:rPr>
                      <w:sz w:val="21"/>
                      <w:szCs w:val="21"/>
                    </w:rPr>
                  </w:pPr>
                  <w:r>
                    <w:rPr>
                      <w:sz w:val="21"/>
                      <w:szCs w:val="21"/>
                    </w:rPr>
                    <w:t>95</w:t>
                  </w:r>
                </w:p>
              </w:tc>
              <w:tc>
                <w:tcPr>
                  <w:tcW w:w="733" w:type="dxa"/>
                  <w:vAlign w:val="center"/>
                </w:tcPr>
                <w:p>
                  <w:pPr>
                    <w:snapToGrid w:val="0"/>
                    <w:jc w:val="center"/>
                    <w:rPr>
                      <w:sz w:val="21"/>
                      <w:szCs w:val="21"/>
                    </w:rPr>
                  </w:pPr>
                  <w:r>
                    <w:rPr>
                      <w:sz w:val="21"/>
                      <w:szCs w:val="21"/>
                    </w:rPr>
                    <w:t>69</w:t>
                  </w:r>
                </w:p>
              </w:tc>
              <w:tc>
                <w:tcPr>
                  <w:tcW w:w="733" w:type="dxa"/>
                  <w:vAlign w:val="center"/>
                </w:tcPr>
                <w:p>
                  <w:pPr>
                    <w:snapToGrid w:val="0"/>
                    <w:jc w:val="center"/>
                    <w:rPr>
                      <w:sz w:val="21"/>
                      <w:szCs w:val="21"/>
                    </w:rPr>
                  </w:pPr>
                  <w:r>
                    <w:rPr>
                      <w:sz w:val="21"/>
                      <w:szCs w:val="21"/>
                    </w:rPr>
                    <w:t>63</w:t>
                  </w:r>
                </w:p>
              </w:tc>
              <w:tc>
                <w:tcPr>
                  <w:tcW w:w="733" w:type="dxa"/>
                  <w:vAlign w:val="center"/>
                </w:tcPr>
                <w:p>
                  <w:pPr>
                    <w:snapToGrid w:val="0"/>
                    <w:jc w:val="center"/>
                    <w:rPr>
                      <w:sz w:val="21"/>
                      <w:szCs w:val="21"/>
                    </w:rPr>
                  </w:pPr>
                  <w:r>
                    <w:rPr>
                      <w:sz w:val="21"/>
                      <w:szCs w:val="21"/>
                    </w:rPr>
                    <w:t>59</w:t>
                  </w:r>
                </w:p>
              </w:tc>
              <w:tc>
                <w:tcPr>
                  <w:tcW w:w="733" w:type="dxa"/>
                  <w:vAlign w:val="center"/>
                </w:tcPr>
                <w:p>
                  <w:pPr>
                    <w:snapToGrid w:val="0"/>
                    <w:jc w:val="center"/>
                    <w:rPr>
                      <w:sz w:val="21"/>
                      <w:szCs w:val="21"/>
                    </w:rPr>
                  </w:pPr>
                  <w:r>
                    <w:rPr>
                      <w:sz w:val="21"/>
                      <w:szCs w:val="21"/>
                    </w:rPr>
                    <w:t>57</w:t>
                  </w:r>
                </w:p>
              </w:tc>
              <w:tc>
                <w:tcPr>
                  <w:tcW w:w="733" w:type="dxa"/>
                  <w:vAlign w:val="center"/>
                </w:tcPr>
                <w:p>
                  <w:pPr>
                    <w:snapToGrid w:val="0"/>
                    <w:jc w:val="center"/>
                    <w:rPr>
                      <w:sz w:val="21"/>
                      <w:szCs w:val="21"/>
                    </w:rPr>
                  </w:pPr>
                  <w:r>
                    <w:rPr>
                      <w:sz w:val="21"/>
                      <w:szCs w:val="21"/>
                    </w:rPr>
                    <w:t>55</w:t>
                  </w:r>
                </w:p>
              </w:tc>
              <w:tc>
                <w:tcPr>
                  <w:tcW w:w="733" w:type="dxa"/>
                  <w:vAlign w:val="center"/>
                </w:tcPr>
                <w:p>
                  <w:pPr>
                    <w:snapToGrid w:val="0"/>
                    <w:jc w:val="center"/>
                    <w:rPr>
                      <w:sz w:val="21"/>
                      <w:szCs w:val="21"/>
                    </w:rPr>
                  </w:pPr>
                  <w:r>
                    <w:rPr>
                      <w:sz w:val="21"/>
                      <w:szCs w:val="21"/>
                    </w:rPr>
                    <w:t>51</w:t>
                  </w:r>
                </w:p>
              </w:tc>
              <w:tc>
                <w:tcPr>
                  <w:tcW w:w="733" w:type="dxa"/>
                  <w:vAlign w:val="center"/>
                </w:tcPr>
                <w:p>
                  <w:pPr>
                    <w:snapToGrid w:val="0"/>
                    <w:jc w:val="center"/>
                    <w:rPr>
                      <w:sz w:val="21"/>
                      <w:szCs w:val="21"/>
                    </w:rPr>
                  </w:pPr>
                  <w:r>
                    <w:rPr>
                      <w:sz w:val="21"/>
                      <w:szCs w:val="21"/>
                    </w:rPr>
                    <w:t>49</w:t>
                  </w:r>
                </w:p>
              </w:tc>
              <w:tc>
                <w:tcPr>
                  <w:tcW w:w="733" w:type="dxa"/>
                  <w:vAlign w:val="center"/>
                </w:tcPr>
                <w:p>
                  <w:pPr>
                    <w:snapToGrid w:val="0"/>
                    <w:jc w:val="center"/>
                    <w:rPr>
                      <w:sz w:val="21"/>
                      <w:szCs w:val="21"/>
                    </w:rPr>
                  </w:pPr>
                  <w:r>
                    <w:rPr>
                      <w:sz w:val="21"/>
                      <w:szCs w:val="21"/>
                    </w:rPr>
                    <w:t>45</w:t>
                  </w:r>
                </w:p>
              </w:tc>
              <w:tc>
                <w:tcPr>
                  <w:tcW w:w="733" w:type="dxa"/>
                  <w:vAlign w:val="center"/>
                </w:tcPr>
                <w:p>
                  <w:pPr>
                    <w:snapToGrid w:val="0"/>
                    <w:jc w:val="center"/>
                    <w:rPr>
                      <w:sz w:val="21"/>
                      <w:szCs w:val="21"/>
                    </w:rPr>
                  </w:pPr>
                  <w:r>
                    <w:rPr>
                      <w:sz w:val="21"/>
                      <w:szCs w:val="21"/>
                    </w:rPr>
                    <w:t>43</w:t>
                  </w:r>
                </w:p>
              </w:tc>
              <w:tc>
                <w:tcPr>
                  <w:tcW w:w="738" w:type="dxa"/>
                  <w:vAlign w:val="center"/>
                </w:tcPr>
                <w:p>
                  <w:pPr>
                    <w:snapToGrid w:val="0"/>
                    <w:jc w:val="center"/>
                    <w:rPr>
                      <w:sz w:val="21"/>
                      <w:szCs w:val="21"/>
                    </w:rPr>
                  </w:pPr>
                  <w:r>
                    <w:rPr>
                      <w:sz w:val="21"/>
                      <w:szCs w:val="21"/>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木工刨</w:t>
                  </w:r>
                </w:p>
              </w:tc>
              <w:tc>
                <w:tcPr>
                  <w:tcW w:w="747" w:type="dxa"/>
                  <w:vAlign w:val="center"/>
                </w:tcPr>
                <w:p>
                  <w:pPr>
                    <w:snapToGrid w:val="0"/>
                    <w:jc w:val="center"/>
                    <w:rPr>
                      <w:sz w:val="21"/>
                      <w:szCs w:val="21"/>
                    </w:rPr>
                  </w:pPr>
                  <w:r>
                    <w:rPr>
                      <w:sz w:val="21"/>
                      <w:szCs w:val="21"/>
                    </w:rPr>
                    <w:t>95</w:t>
                  </w:r>
                </w:p>
              </w:tc>
              <w:tc>
                <w:tcPr>
                  <w:tcW w:w="733" w:type="dxa"/>
                  <w:vAlign w:val="center"/>
                </w:tcPr>
                <w:p>
                  <w:pPr>
                    <w:snapToGrid w:val="0"/>
                    <w:jc w:val="center"/>
                    <w:rPr>
                      <w:sz w:val="21"/>
                      <w:szCs w:val="21"/>
                    </w:rPr>
                  </w:pPr>
                  <w:r>
                    <w:rPr>
                      <w:sz w:val="21"/>
                      <w:szCs w:val="21"/>
                    </w:rPr>
                    <w:t>69</w:t>
                  </w:r>
                </w:p>
              </w:tc>
              <w:tc>
                <w:tcPr>
                  <w:tcW w:w="733" w:type="dxa"/>
                  <w:vAlign w:val="center"/>
                </w:tcPr>
                <w:p>
                  <w:pPr>
                    <w:snapToGrid w:val="0"/>
                    <w:jc w:val="center"/>
                    <w:rPr>
                      <w:sz w:val="21"/>
                      <w:szCs w:val="21"/>
                    </w:rPr>
                  </w:pPr>
                  <w:r>
                    <w:rPr>
                      <w:sz w:val="21"/>
                      <w:szCs w:val="21"/>
                    </w:rPr>
                    <w:t>63</w:t>
                  </w:r>
                </w:p>
              </w:tc>
              <w:tc>
                <w:tcPr>
                  <w:tcW w:w="733" w:type="dxa"/>
                  <w:vAlign w:val="center"/>
                </w:tcPr>
                <w:p>
                  <w:pPr>
                    <w:snapToGrid w:val="0"/>
                    <w:jc w:val="center"/>
                    <w:rPr>
                      <w:sz w:val="21"/>
                      <w:szCs w:val="21"/>
                    </w:rPr>
                  </w:pPr>
                  <w:r>
                    <w:rPr>
                      <w:sz w:val="21"/>
                      <w:szCs w:val="21"/>
                    </w:rPr>
                    <w:t>59</w:t>
                  </w:r>
                </w:p>
              </w:tc>
              <w:tc>
                <w:tcPr>
                  <w:tcW w:w="733" w:type="dxa"/>
                  <w:vAlign w:val="center"/>
                </w:tcPr>
                <w:p>
                  <w:pPr>
                    <w:snapToGrid w:val="0"/>
                    <w:jc w:val="center"/>
                    <w:rPr>
                      <w:sz w:val="21"/>
                      <w:szCs w:val="21"/>
                    </w:rPr>
                  </w:pPr>
                  <w:r>
                    <w:rPr>
                      <w:sz w:val="21"/>
                      <w:szCs w:val="21"/>
                    </w:rPr>
                    <w:t>57</w:t>
                  </w:r>
                </w:p>
              </w:tc>
              <w:tc>
                <w:tcPr>
                  <w:tcW w:w="733" w:type="dxa"/>
                  <w:vAlign w:val="center"/>
                </w:tcPr>
                <w:p>
                  <w:pPr>
                    <w:snapToGrid w:val="0"/>
                    <w:jc w:val="center"/>
                    <w:rPr>
                      <w:sz w:val="21"/>
                      <w:szCs w:val="21"/>
                    </w:rPr>
                  </w:pPr>
                  <w:r>
                    <w:rPr>
                      <w:sz w:val="21"/>
                      <w:szCs w:val="21"/>
                    </w:rPr>
                    <w:t>55</w:t>
                  </w:r>
                </w:p>
              </w:tc>
              <w:tc>
                <w:tcPr>
                  <w:tcW w:w="733" w:type="dxa"/>
                  <w:vAlign w:val="center"/>
                </w:tcPr>
                <w:p>
                  <w:pPr>
                    <w:snapToGrid w:val="0"/>
                    <w:jc w:val="center"/>
                    <w:rPr>
                      <w:sz w:val="21"/>
                      <w:szCs w:val="21"/>
                    </w:rPr>
                  </w:pPr>
                  <w:r>
                    <w:rPr>
                      <w:sz w:val="21"/>
                      <w:szCs w:val="21"/>
                    </w:rPr>
                    <w:t>51</w:t>
                  </w:r>
                </w:p>
              </w:tc>
              <w:tc>
                <w:tcPr>
                  <w:tcW w:w="733" w:type="dxa"/>
                  <w:vAlign w:val="center"/>
                </w:tcPr>
                <w:p>
                  <w:pPr>
                    <w:snapToGrid w:val="0"/>
                    <w:jc w:val="center"/>
                    <w:rPr>
                      <w:sz w:val="21"/>
                      <w:szCs w:val="21"/>
                    </w:rPr>
                  </w:pPr>
                  <w:r>
                    <w:rPr>
                      <w:sz w:val="21"/>
                      <w:szCs w:val="21"/>
                    </w:rPr>
                    <w:t>49</w:t>
                  </w:r>
                </w:p>
              </w:tc>
              <w:tc>
                <w:tcPr>
                  <w:tcW w:w="733" w:type="dxa"/>
                  <w:vAlign w:val="center"/>
                </w:tcPr>
                <w:p>
                  <w:pPr>
                    <w:snapToGrid w:val="0"/>
                    <w:jc w:val="center"/>
                    <w:rPr>
                      <w:sz w:val="21"/>
                      <w:szCs w:val="21"/>
                    </w:rPr>
                  </w:pPr>
                  <w:r>
                    <w:rPr>
                      <w:sz w:val="21"/>
                      <w:szCs w:val="21"/>
                    </w:rPr>
                    <w:t>45</w:t>
                  </w:r>
                </w:p>
              </w:tc>
              <w:tc>
                <w:tcPr>
                  <w:tcW w:w="733" w:type="dxa"/>
                  <w:vAlign w:val="center"/>
                </w:tcPr>
                <w:p>
                  <w:pPr>
                    <w:snapToGrid w:val="0"/>
                    <w:jc w:val="center"/>
                    <w:rPr>
                      <w:sz w:val="21"/>
                      <w:szCs w:val="21"/>
                    </w:rPr>
                  </w:pPr>
                  <w:r>
                    <w:rPr>
                      <w:sz w:val="21"/>
                      <w:szCs w:val="21"/>
                    </w:rPr>
                    <w:t>43</w:t>
                  </w:r>
                </w:p>
              </w:tc>
              <w:tc>
                <w:tcPr>
                  <w:tcW w:w="738" w:type="dxa"/>
                  <w:vAlign w:val="center"/>
                </w:tcPr>
                <w:p>
                  <w:pPr>
                    <w:snapToGrid w:val="0"/>
                    <w:jc w:val="center"/>
                    <w:rPr>
                      <w:sz w:val="21"/>
                      <w:szCs w:val="21"/>
                    </w:rPr>
                  </w:pPr>
                  <w:r>
                    <w:rPr>
                      <w:sz w:val="21"/>
                      <w:szCs w:val="21"/>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平路机</w:t>
                  </w:r>
                </w:p>
              </w:tc>
              <w:tc>
                <w:tcPr>
                  <w:tcW w:w="747" w:type="dxa"/>
                  <w:vAlign w:val="center"/>
                </w:tcPr>
                <w:p>
                  <w:pPr>
                    <w:snapToGrid w:val="0"/>
                    <w:jc w:val="center"/>
                    <w:rPr>
                      <w:sz w:val="21"/>
                      <w:szCs w:val="21"/>
                    </w:rPr>
                  </w:pPr>
                  <w:r>
                    <w:rPr>
                      <w:sz w:val="21"/>
                      <w:szCs w:val="21"/>
                    </w:rPr>
                    <w:t>94</w:t>
                  </w:r>
                </w:p>
              </w:tc>
              <w:tc>
                <w:tcPr>
                  <w:tcW w:w="733" w:type="dxa"/>
                  <w:vAlign w:val="center"/>
                </w:tcPr>
                <w:p>
                  <w:pPr>
                    <w:snapToGrid w:val="0"/>
                    <w:jc w:val="center"/>
                    <w:rPr>
                      <w:sz w:val="21"/>
                      <w:szCs w:val="21"/>
                    </w:rPr>
                  </w:pPr>
                  <w:r>
                    <w:rPr>
                      <w:sz w:val="21"/>
                      <w:szCs w:val="21"/>
                    </w:rPr>
                    <w:t>68</w:t>
                  </w:r>
                </w:p>
              </w:tc>
              <w:tc>
                <w:tcPr>
                  <w:tcW w:w="733" w:type="dxa"/>
                  <w:vAlign w:val="center"/>
                </w:tcPr>
                <w:p>
                  <w:pPr>
                    <w:snapToGrid w:val="0"/>
                    <w:jc w:val="center"/>
                    <w:rPr>
                      <w:sz w:val="21"/>
                      <w:szCs w:val="21"/>
                    </w:rPr>
                  </w:pPr>
                  <w:r>
                    <w:rPr>
                      <w:sz w:val="21"/>
                      <w:szCs w:val="21"/>
                    </w:rPr>
                    <w:t>60</w:t>
                  </w:r>
                </w:p>
              </w:tc>
              <w:tc>
                <w:tcPr>
                  <w:tcW w:w="733" w:type="dxa"/>
                  <w:vAlign w:val="center"/>
                </w:tcPr>
                <w:p>
                  <w:pPr>
                    <w:snapToGrid w:val="0"/>
                    <w:jc w:val="center"/>
                    <w:rPr>
                      <w:sz w:val="21"/>
                      <w:szCs w:val="21"/>
                    </w:rPr>
                  </w:pPr>
                  <w:r>
                    <w:rPr>
                      <w:sz w:val="21"/>
                      <w:szCs w:val="21"/>
                    </w:rPr>
                    <w:t>58</w:t>
                  </w:r>
                </w:p>
              </w:tc>
              <w:tc>
                <w:tcPr>
                  <w:tcW w:w="733" w:type="dxa"/>
                  <w:vAlign w:val="center"/>
                </w:tcPr>
                <w:p>
                  <w:pPr>
                    <w:snapToGrid w:val="0"/>
                    <w:jc w:val="center"/>
                    <w:rPr>
                      <w:sz w:val="21"/>
                      <w:szCs w:val="21"/>
                    </w:rPr>
                  </w:pPr>
                  <w:r>
                    <w:rPr>
                      <w:sz w:val="21"/>
                      <w:szCs w:val="21"/>
                    </w:rPr>
                    <w:t>56</w:t>
                  </w:r>
                </w:p>
              </w:tc>
              <w:tc>
                <w:tcPr>
                  <w:tcW w:w="733" w:type="dxa"/>
                  <w:vAlign w:val="center"/>
                </w:tcPr>
                <w:p>
                  <w:pPr>
                    <w:snapToGrid w:val="0"/>
                    <w:jc w:val="center"/>
                    <w:rPr>
                      <w:sz w:val="21"/>
                      <w:szCs w:val="21"/>
                    </w:rPr>
                  </w:pPr>
                  <w:r>
                    <w:rPr>
                      <w:sz w:val="21"/>
                      <w:szCs w:val="21"/>
                    </w:rPr>
                    <w:t>54</w:t>
                  </w:r>
                </w:p>
              </w:tc>
              <w:tc>
                <w:tcPr>
                  <w:tcW w:w="733" w:type="dxa"/>
                  <w:vAlign w:val="center"/>
                </w:tcPr>
                <w:p>
                  <w:pPr>
                    <w:snapToGrid w:val="0"/>
                    <w:jc w:val="center"/>
                    <w:rPr>
                      <w:sz w:val="21"/>
                      <w:szCs w:val="21"/>
                    </w:rPr>
                  </w:pPr>
                  <w:r>
                    <w:rPr>
                      <w:sz w:val="21"/>
                      <w:szCs w:val="21"/>
                    </w:rPr>
                    <w:t>50</w:t>
                  </w:r>
                </w:p>
              </w:tc>
              <w:tc>
                <w:tcPr>
                  <w:tcW w:w="733" w:type="dxa"/>
                  <w:vAlign w:val="center"/>
                </w:tcPr>
                <w:p>
                  <w:pPr>
                    <w:snapToGrid w:val="0"/>
                    <w:jc w:val="center"/>
                    <w:rPr>
                      <w:sz w:val="21"/>
                      <w:szCs w:val="21"/>
                    </w:rPr>
                  </w:pPr>
                  <w:r>
                    <w:rPr>
                      <w:sz w:val="21"/>
                      <w:szCs w:val="21"/>
                    </w:rPr>
                    <w:t>48</w:t>
                  </w:r>
                </w:p>
              </w:tc>
              <w:tc>
                <w:tcPr>
                  <w:tcW w:w="733" w:type="dxa"/>
                  <w:vAlign w:val="center"/>
                </w:tcPr>
                <w:p>
                  <w:pPr>
                    <w:snapToGrid w:val="0"/>
                    <w:jc w:val="center"/>
                    <w:rPr>
                      <w:sz w:val="21"/>
                      <w:szCs w:val="21"/>
                    </w:rPr>
                  </w:pPr>
                  <w:r>
                    <w:rPr>
                      <w:sz w:val="21"/>
                      <w:szCs w:val="21"/>
                    </w:rPr>
                    <w:t>44</w:t>
                  </w:r>
                </w:p>
              </w:tc>
              <w:tc>
                <w:tcPr>
                  <w:tcW w:w="733" w:type="dxa"/>
                  <w:vAlign w:val="center"/>
                </w:tcPr>
                <w:p>
                  <w:pPr>
                    <w:snapToGrid w:val="0"/>
                    <w:jc w:val="center"/>
                    <w:rPr>
                      <w:sz w:val="21"/>
                      <w:szCs w:val="21"/>
                    </w:rPr>
                  </w:pPr>
                  <w:r>
                    <w:rPr>
                      <w:sz w:val="21"/>
                      <w:szCs w:val="21"/>
                    </w:rPr>
                    <w:t>42</w:t>
                  </w:r>
                </w:p>
              </w:tc>
              <w:tc>
                <w:tcPr>
                  <w:tcW w:w="738" w:type="dxa"/>
                  <w:vAlign w:val="center"/>
                </w:tcPr>
                <w:p>
                  <w:pPr>
                    <w:snapToGrid w:val="0"/>
                    <w:jc w:val="center"/>
                    <w:rPr>
                      <w:sz w:val="21"/>
                      <w:szCs w:val="21"/>
                    </w:rPr>
                  </w:pPr>
                  <w:r>
                    <w:rPr>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压路机</w:t>
                  </w:r>
                </w:p>
              </w:tc>
              <w:tc>
                <w:tcPr>
                  <w:tcW w:w="747" w:type="dxa"/>
                  <w:vAlign w:val="center"/>
                </w:tcPr>
                <w:p>
                  <w:pPr>
                    <w:snapToGrid w:val="0"/>
                    <w:jc w:val="center"/>
                    <w:rPr>
                      <w:sz w:val="21"/>
                      <w:szCs w:val="21"/>
                    </w:rPr>
                  </w:pPr>
                  <w:r>
                    <w:rPr>
                      <w:sz w:val="21"/>
                      <w:szCs w:val="21"/>
                    </w:rPr>
                    <w:t>92</w:t>
                  </w:r>
                </w:p>
              </w:tc>
              <w:tc>
                <w:tcPr>
                  <w:tcW w:w="733" w:type="dxa"/>
                  <w:vAlign w:val="center"/>
                </w:tcPr>
                <w:p>
                  <w:pPr>
                    <w:snapToGrid w:val="0"/>
                    <w:jc w:val="center"/>
                    <w:rPr>
                      <w:sz w:val="21"/>
                      <w:szCs w:val="21"/>
                    </w:rPr>
                  </w:pPr>
                  <w:r>
                    <w:rPr>
                      <w:sz w:val="21"/>
                      <w:szCs w:val="21"/>
                    </w:rPr>
                    <w:t>66</w:t>
                  </w:r>
                </w:p>
              </w:tc>
              <w:tc>
                <w:tcPr>
                  <w:tcW w:w="733" w:type="dxa"/>
                  <w:vAlign w:val="center"/>
                </w:tcPr>
                <w:p>
                  <w:pPr>
                    <w:snapToGrid w:val="0"/>
                    <w:jc w:val="center"/>
                    <w:rPr>
                      <w:sz w:val="21"/>
                      <w:szCs w:val="21"/>
                    </w:rPr>
                  </w:pPr>
                  <w:r>
                    <w:rPr>
                      <w:sz w:val="21"/>
                      <w:szCs w:val="21"/>
                    </w:rPr>
                    <w:t>60</w:t>
                  </w:r>
                </w:p>
              </w:tc>
              <w:tc>
                <w:tcPr>
                  <w:tcW w:w="733" w:type="dxa"/>
                  <w:vAlign w:val="center"/>
                </w:tcPr>
                <w:p>
                  <w:pPr>
                    <w:snapToGrid w:val="0"/>
                    <w:jc w:val="center"/>
                    <w:rPr>
                      <w:sz w:val="21"/>
                      <w:szCs w:val="21"/>
                    </w:rPr>
                  </w:pPr>
                  <w:r>
                    <w:rPr>
                      <w:sz w:val="21"/>
                      <w:szCs w:val="21"/>
                    </w:rPr>
                    <w:t>56</w:t>
                  </w:r>
                </w:p>
              </w:tc>
              <w:tc>
                <w:tcPr>
                  <w:tcW w:w="733" w:type="dxa"/>
                  <w:vAlign w:val="center"/>
                </w:tcPr>
                <w:p>
                  <w:pPr>
                    <w:snapToGrid w:val="0"/>
                    <w:jc w:val="center"/>
                    <w:rPr>
                      <w:sz w:val="21"/>
                      <w:szCs w:val="21"/>
                    </w:rPr>
                  </w:pPr>
                  <w:r>
                    <w:rPr>
                      <w:sz w:val="21"/>
                      <w:szCs w:val="21"/>
                    </w:rPr>
                    <w:t>54</w:t>
                  </w:r>
                </w:p>
              </w:tc>
              <w:tc>
                <w:tcPr>
                  <w:tcW w:w="733" w:type="dxa"/>
                  <w:vAlign w:val="center"/>
                </w:tcPr>
                <w:p>
                  <w:pPr>
                    <w:snapToGrid w:val="0"/>
                    <w:jc w:val="center"/>
                    <w:rPr>
                      <w:sz w:val="21"/>
                      <w:szCs w:val="21"/>
                    </w:rPr>
                  </w:pPr>
                  <w:r>
                    <w:rPr>
                      <w:sz w:val="21"/>
                      <w:szCs w:val="21"/>
                    </w:rPr>
                    <w:t>52</w:t>
                  </w:r>
                </w:p>
              </w:tc>
              <w:tc>
                <w:tcPr>
                  <w:tcW w:w="733" w:type="dxa"/>
                  <w:vAlign w:val="center"/>
                </w:tcPr>
                <w:p>
                  <w:pPr>
                    <w:snapToGrid w:val="0"/>
                    <w:jc w:val="center"/>
                    <w:rPr>
                      <w:sz w:val="21"/>
                      <w:szCs w:val="21"/>
                    </w:rPr>
                  </w:pPr>
                  <w:r>
                    <w:rPr>
                      <w:sz w:val="21"/>
                      <w:szCs w:val="21"/>
                    </w:rPr>
                    <w:t>48</w:t>
                  </w:r>
                </w:p>
              </w:tc>
              <w:tc>
                <w:tcPr>
                  <w:tcW w:w="733" w:type="dxa"/>
                  <w:vAlign w:val="center"/>
                </w:tcPr>
                <w:p>
                  <w:pPr>
                    <w:snapToGrid w:val="0"/>
                    <w:jc w:val="center"/>
                    <w:rPr>
                      <w:sz w:val="21"/>
                      <w:szCs w:val="21"/>
                    </w:rPr>
                  </w:pPr>
                  <w:r>
                    <w:rPr>
                      <w:sz w:val="21"/>
                      <w:szCs w:val="21"/>
                    </w:rPr>
                    <w:t>46</w:t>
                  </w:r>
                </w:p>
              </w:tc>
              <w:tc>
                <w:tcPr>
                  <w:tcW w:w="733" w:type="dxa"/>
                  <w:vAlign w:val="center"/>
                </w:tcPr>
                <w:p>
                  <w:pPr>
                    <w:snapToGrid w:val="0"/>
                    <w:jc w:val="center"/>
                    <w:rPr>
                      <w:sz w:val="21"/>
                      <w:szCs w:val="21"/>
                    </w:rPr>
                  </w:pPr>
                  <w:r>
                    <w:rPr>
                      <w:sz w:val="21"/>
                      <w:szCs w:val="21"/>
                    </w:rPr>
                    <w:t>42</w:t>
                  </w:r>
                </w:p>
              </w:tc>
              <w:tc>
                <w:tcPr>
                  <w:tcW w:w="733" w:type="dxa"/>
                  <w:vAlign w:val="center"/>
                </w:tcPr>
                <w:p>
                  <w:pPr>
                    <w:snapToGrid w:val="0"/>
                    <w:jc w:val="center"/>
                    <w:rPr>
                      <w:sz w:val="21"/>
                      <w:szCs w:val="21"/>
                    </w:rPr>
                  </w:pPr>
                  <w:r>
                    <w:rPr>
                      <w:sz w:val="21"/>
                      <w:szCs w:val="21"/>
                    </w:rPr>
                    <w:t>—</w:t>
                  </w:r>
                </w:p>
              </w:tc>
              <w:tc>
                <w:tcPr>
                  <w:tcW w:w="738" w:type="dxa"/>
                  <w:vAlign w:val="center"/>
                </w:tcPr>
                <w:p>
                  <w:pPr>
                    <w:snapToGrid w:val="0"/>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 w:hRule="atLeast"/>
              </w:trPr>
              <w:tc>
                <w:tcPr>
                  <w:tcW w:w="909" w:type="dxa"/>
                  <w:vAlign w:val="center"/>
                </w:tcPr>
                <w:p>
                  <w:pPr>
                    <w:snapToGrid w:val="0"/>
                    <w:jc w:val="center"/>
                    <w:rPr>
                      <w:sz w:val="21"/>
                      <w:szCs w:val="21"/>
                    </w:rPr>
                  </w:pPr>
                  <w:r>
                    <w:rPr>
                      <w:sz w:val="21"/>
                      <w:szCs w:val="21"/>
                    </w:rPr>
                    <w:t>大型运输车</w:t>
                  </w:r>
                </w:p>
              </w:tc>
              <w:tc>
                <w:tcPr>
                  <w:tcW w:w="747" w:type="dxa"/>
                  <w:vAlign w:val="center"/>
                </w:tcPr>
                <w:p>
                  <w:pPr>
                    <w:snapToGrid w:val="0"/>
                    <w:jc w:val="center"/>
                    <w:rPr>
                      <w:sz w:val="21"/>
                      <w:szCs w:val="21"/>
                    </w:rPr>
                  </w:pPr>
                  <w:r>
                    <w:rPr>
                      <w:sz w:val="21"/>
                      <w:szCs w:val="21"/>
                    </w:rPr>
                    <w:t>84.4</w:t>
                  </w:r>
                </w:p>
              </w:tc>
              <w:tc>
                <w:tcPr>
                  <w:tcW w:w="733" w:type="dxa"/>
                  <w:vAlign w:val="center"/>
                </w:tcPr>
                <w:p>
                  <w:pPr>
                    <w:snapToGrid w:val="0"/>
                    <w:jc w:val="center"/>
                    <w:rPr>
                      <w:sz w:val="21"/>
                      <w:szCs w:val="21"/>
                    </w:rPr>
                  </w:pPr>
                  <w:r>
                    <w:rPr>
                      <w:sz w:val="21"/>
                      <w:szCs w:val="21"/>
                    </w:rPr>
                    <w:t>58.4</w:t>
                  </w:r>
                </w:p>
              </w:tc>
              <w:tc>
                <w:tcPr>
                  <w:tcW w:w="733" w:type="dxa"/>
                  <w:vAlign w:val="center"/>
                </w:tcPr>
                <w:p>
                  <w:pPr>
                    <w:snapToGrid w:val="0"/>
                    <w:jc w:val="center"/>
                    <w:rPr>
                      <w:sz w:val="21"/>
                      <w:szCs w:val="21"/>
                    </w:rPr>
                  </w:pPr>
                  <w:r>
                    <w:rPr>
                      <w:sz w:val="21"/>
                      <w:szCs w:val="21"/>
                    </w:rPr>
                    <w:t>52.4</w:t>
                  </w:r>
                </w:p>
              </w:tc>
              <w:tc>
                <w:tcPr>
                  <w:tcW w:w="733" w:type="dxa"/>
                  <w:vAlign w:val="center"/>
                </w:tcPr>
                <w:p>
                  <w:pPr>
                    <w:snapToGrid w:val="0"/>
                    <w:jc w:val="center"/>
                    <w:rPr>
                      <w:sz w:val="21"/>
                      <w:szCs w:val="21"/>
                    </w:rPr>
                  </w:pPr>
                  <w:r>
                    <w:rPr>
                      <w:sz w:val="21"/>
                      <w:szCs w:val="21"/>
                    </w:rPr>
                    <w:t>48.8</w:t>
                  </w:r>
                </w:p>
              </w:tc>
              <w:tc>
                <w:tcPr>
                  <w:tcW w:w="733" w:type="dxa"/>
                  <w:vAlign w:val="center"/>
                </w:tcPr>
                <w:p>
                  <w:pPr>
                    <w:snapToGrid w:val="0"/>
                    <w:jc w:val="center"/>
                    <w:rPr>
                      <w:sz w:val="21"/>
                      <w:szCs w:val="21"/>
                    </w:rPr>
                  </w:pPr>
                  <w:r>
                    <w:rPr>
                      <w:sz w:val="21"/>
                      <w:szCs w:val="21"/>
                    </w:rPr>
                    <w:t>46.3</w:t>
                  </w:r>
                </w:p>
              </w:tc>
              <w:tc>
                <w:tcPr>
                  <w:tcW w:w="733" w:type="dxa"/>
                  <w:vAlign w:val="center"/>
                </w:tcPr>
                <w:p>
                  <w:pPr>
                    <w:snapToGrid w:val="0"/>
                    <w:jc w:val="center"/>
                    <w:rPr>
                      <w:sz w:val="21"/>
                      <w:szCs w:val="21"/>
                    </w:rPr>
                  </w:pPr>
                  <w:r>
                    <w:rPr>
                      <w:sz w:val="21"/>
                      <w:szCs w:val="21"/>
                    </w:rPr>
                    <w:t>44.4</w:t>
                  </w:r>
                </w:p>
              </w:tc>
              <w:tc>
                <w:tcPr>
                  <w:tcW w:w="733" w:type="dxa"/>
                  <w:vAlign w:val="center"/>
                </w:tcPr>
                <w:p>
                  <w:pPr>
                    <w:snapToGrid w:val="0"/>
                    <w:jc w:val="center"/>
                    <w:rPr>
                      <w:sz w:val="21"/>
                      <w:szCs w:val="21"/>
                    </w:rPr>
                  </w:pPr>
                  <w:r>
                    <w:rPr>
                      <w:sz w:val="21"/>
                      <w:szCs w:val="21"/>
                    </w:rPr>
                    <w:t>40.9</w:t>
                  </w:r>
                </w:p>
              </w:tc>
              <w:tc>
                <w:tcPr>
                  <w:tcW w:w="733" w:type="dxa"/>
                  <w:vAlign w:val="center"/>
                </w:tcPr>
                <w:p>
                  <w:pPr>
                    <w:snapToGrid w:val="0"/>
                    <w:jc w:val="center"/>
                    <w:rPr>
                      <w:sz w:val="21"/>
                      <w:szCs w:val="21"/>
                    </w:rPr>
                  </w:pPr>
                  <w:r>
                    <w:rPr>
                      <w:sz w:val="21"/>
                      <w:szCs w:val="21"/>
                    </w:rPr>
                    <w:t>38.4</w:t>
                  </w:r>
                </w:p>
              </w:tc>
              <w:tc>
                <w:tcPr>
                  <w:tcW w:w="733" w:type="dxa"/>
                  <w:vAlign w:val="center"/>
                </w:tcPr>
                <w:p>
                  <w:pPr>
                    <w:snapToGrid w:val="0"/>
                    <w:jc w:val="center"/>
                    <w:rPr>
                      <w:sz w:val="21"/>
                      <w:szCs w:val="21"/>
                    </w:rPr>
                  </w:pPr>
                  <w:r>
                    <w:rPr>
                      <w:sz w:val="21"/>
                      <w:szCs w:val="21"/>
                    </w:rPr>
                    <w:t>34.9</w:t>
                  </w:r>
                </w:p>
              </w:tc>
              <w:tc>
                <w:tcPr>
                  <w:tcW w:w="733" w:type="dxa"/>
                  <w:vAlign w:val="center"/>
                </w:tcPr>
                <w:p>
                  <w:pPr>
                    <w:snapToGrid w:val="0"/>
                    <w:jc w:val="center"/>
                    <w:rPr>
                      <w:sz w:val="21"/>
                      <w:szCs w:val="21"/>
                    </w:rPr>
                  </w:pPr>
                  <w:r>
                    <w:rPr>
                      <w:sz w:val="21"/>
                      <w:szCs w:val="21"/>
                    </w:rPr>
                    <w:t>32.4</w:t>
                  </w:r>
                </w:p>
              </w:tc>
              <w:tc>
                <w:tcPr>
                  <w:tcW w:w="738" w:type="dxa"/>
                  <w:vAlign w:val="center"/>
                </w:tcPr>
                <w:p>
                  <w:pPr>
                    <w:snapToGrid w:val="0"/>
                    <w:jc w:val="center"/>
                    <w:rPr>
                      <w:sz w:val="21"/>
                      <w:szCs w:val="21"/>
                    </w:rPr>
                  </w:pPr>
                  <w:r>
                    <w:rPr>
                      <w:sz w:val="21"/>
                      <w:szCs w:val="21"/>
                    </w:rPr>
                    <w:t>30.4</w:t>
                  </w:r>
                </w:p>
              </w:tc>
            </w:tr>
          </w:tbl>
          <w:p>
            <w:pPr>
              <w:tabs>
                <w:tab w:val="left" w:pos="6920"/>
              </w:tabs>
              <w:spacing w:line="360" w:lineRule="auto"/>
              <w:ind w:firstLine="480" w:firstLineChars="200"/>
              <w:rPr>
                <w:rFonts w:hint="eastAsia"/>
                <w:kern w:val="0"/>
                <w:sz w:val="24"/>
              </w:rPr>
            </w:pPr>
            <w:r>
              <w:rPr>
                <w:kern w:val="0"/>
                <w:sz w:val="24"/>
              </w:rPr>
              <w:t>噪声环境影响分析由上表可以看出，白天施工噪声超过《建筑施工场界环境噪声排放标准》的情况出现在距声源40m的范围内，夜间施工噪声超标情况出现在距声源150m～200m范围内，需采取相应的防范措施。</w:t>
            </w:r>
          </w:p>
          <w:p>
            <w:pPr>
              <w:tabs>
                <w:tab w:val="left" w:pos="6920"/>
              </w:tabs>
              <w:spacing w:line="360" w:lineRule="auto"/>
              <w:ind w:firstLine="480" w:firstLineChars="200"/>
              <w:rPr>
                <w:rFonts w:hint="eastAsia"/>
                <w:kern w:val="0"/>
                <w:sz w:val="24"/>
              </w:rPr>
            </w:pPr>
            <w:r>
              <w:rPr>
                <w:rFonts w:hint="eastAsia"/>
                <w:kern w:val="0"/>
                <w:sz w:val="24"/>
              </w:rPr>
              <w:t>因此，在不同施工阶段拟采取严格的降噪措施以控制施工场界噪声，具体措施如下：</w:t>
            </w:r>
          </w:p>
          <w:p>
            <w:pPr>
              <w:spacing w:line="360" w:lineRule="auto"/>
              <w:ind w:firstLine="600" w:firstLineChars="250"/>
              <w:rPr>
                <w:sz w:val="24"/>
              </w:rPr>
            </w:pPr>
            <w:r>
              <w:rPr>
                <w:rFonts w:hint="eastAsia"/>
                <w:sz w:val="24"/>
              </w:rPr>
              <w:t>⑴</w:t>
            </w:r>
            <w:r>
              <w:rPr>
                <w:sz w:val="24"/>
              </w:rPr>
              <w:t>加强施工管理，合理安排施工作业时间，严格按照施工噪声管理的有关规定执行。在工程需要进行连续浇注阶段，建设单位必须向环保局进行申报，提出申请，经审批同意后方能施工。</w:t>
            </w:r>
          </w:p>
          <w:p>
            <w:pPr>
              <w:snapToGrid w:val="0"/>
              <w:spacing w:line="360" w:lineRule="auto"/>
              <w:ind w:firstLine="540" w:firstLineChars="225"/>
              <w:rPr>
                <w:sz w:val="24"/>
              </w:rPr>
            </w:pPr>
            <w:r>
              <w:rPr>
                <w:rFonts w:hint="eastAsia"/>
                <w:sz w:val="24"/>
              </w:rPr>
              <w:t>⑵</w:t>
            </w:r>
            <w:r>
              <w:rPr>
                <w:sz w:val="24"/>
              </w:rPr>
              <w:t>尽量采用低噪声的施工工具，如以液压工具代替气压工具，同时尽可能采用施工噪声低的施工方法。禁止使用高噪声柴油冲击打桩机、振动打桩机和产生pH值超过9的泥浆水反循环钻孔机等。</w:t>
            </w:r>
          </w:p>
          <w:p>
            <w:pPr>
              <w:snapToGrid w:val="0"/>
              <w:spacing w:line="360" w:lineRule="auto"/>
              <w:ind w:left="540"/>
              <w:rPr>
                <w:sz w:val="24"/>
              </w:rPr>
            </w:pPr>
            <w:r>
              <w:rPr>
                <w:rFonts w:hint="eastAsia"/>
                <w:sz w:val="24"/>
              </w:rPr>
              <w:t>⑶</w:t>
            </w:r>
            <w:r>
              <w:rPr>
                <w:sz w:val="24"/>
              </w:rPr>
              <w:t>在高噪声设备周围要求设置掩蔽物，减少噪声的影响。</w:t>
            </w:r>
          </w:p>
          <w:p>
            <w:pPr>
              <w:snapToGrid w:val="0"/>
              <w:spacing w:line="360" w:lineRule="auto"/>
              <w:ind w:firstLine="540" w:firstLineChars="225"/>
              <w:rPr>
                <w:sz w:val="24"/>
              </w:rPr>
            </w:pPr>
            <w:r>
              <w:rPr>
                <w:rFonts w:hint="eastAsia"/>
                <w:sz w:val="24"/>
              </w:rPr>
              <w:t>⑷</w:t>
            </w:r>
            <w:r>
              <w:rPr>
                <w:sz w:val="24"/>
              </w:rPr>
              <w:t>混凝土需要连续浇灌作业前，应做好各项准备工作，将搅拌机运行时间压到最低限度。</w:t>
            </w:r>
          </w:p>
          <w:p>
            <w:pPr>
              <w:snapToGrid w:val="0"/>
              <w:spacing w:line="360" w:lineRule="auto"/>
              <w:ind w:firstLine="540" w:firstLineChars="225"/>
              <w:rPr>
                <w:rFonts w:hint="eastAsia"/>
                <w:sz w:val="24"/>
              </w:rPr>
            </w:pPr>
            <w:r>
              <w:rPr>
                <w:rFonts w:hint="eastAsia"/>
                <w:sz w:val="24"/>
              </w:rPr>
              <w:t>⑸</w:t>
            </w:r>
            <w:r>
              <w:rPr>
                <w:sz w:val="24"/>
              </w:rPr>
              <w:t>加强对运输车辆的管理：施工过程中各种运输车辆的运行，还将会引起公路沿线噪声级的增加。因此，应加强对运输车辆的管理，尽量压缩工区汽车数量和行车密度，控制汽车鸣笛。</w:t>
            </w:r>
          </w:p>
          <w:p>
            <w:pPr>
              <w:tabs>
                <w:tab w:val="left" w:pos="6920"/>
              </w:tabs>
              <w:spacing w:line="360" w:lineRule="auto"/>
              <w:ind w:firstLine="480" w:firstLineChars="200"/>
              <w:rPr>
                <w:kern w:val="0"/>
                <w:sz w:val="24"/>
              </w:rPr>
            </w:pPr>
            <w:r>
              <w:rPr>
                <w:kern w:val="0"/>
                <w:sz w:val="24"/>
              </w:rPr>
              <w:t>在采取</w:t>
            </w:r>
            <w:r>
              <w:rPr>
                <w:rFonts w:hint="eastAsia"/>
                <w:kern w:val="0"/>
                <w:sz w:val="24"/>
              </w:rPr>
              <w:t>以上有效</w:t>
            </w:r>
            <w:r>
              <w:rPr>
                <w:kern w:val="0"/>
                <w:sz w:val="24"/>
              </w:rPr>
              <w:t>防范措施并遵守相关施工规范后，项目施工对周边的环境影响很小。</w:t>
            </w:r>
          </w:p>
          <w:p>
            <w:pPr>
              <w:tabs>
                <w:tab w:val="left" w:pos="6920"/>
              </w:tabs>
              <w:spacing w:line="360" w:lineRule="auto"/>
              <w:ind w:firstLine="480" w:firstLineChars="200"/>
              <w:rPr>
                <w:kern w:val="0"/>
                <w:sz w:val="24"/>
              </w:rPr>
            </w:pPr>
            <w:r>
              <w:rPr>
                <w:kern w:val="0"/>
                <w:sz w:val="24"/>
              </w:rPr>
              <w:t>4、固体废弃物影响分析</w:t>
            </w:r>
          </w:p>
          <w:p>
            <w:pPr>
              <w:spacing w:line="360" w:lineRule="auto"/>
              <w:ind w:firstLine="480" w:firstLineChars="200"/>
              <w:rPr>
                <w:sz w:val="24"/>
              </w:rPr>
            </w:pPr>
            <w:r>
              <w:rPr>
                <w:sz w:val="24"/>
              </w:rPr>
              <w:t>施工期的固体废物主要有：</w:t>
            </w:r>
            <w:r>
              <w:rPr>
                <w:rFonts w:hint="eastAsia"/>
                <w:sz w:val="24"/>
              </w:rPr>
              <w:t>⑴</w:t>
            </w:r>
            <w:r>
              <w:rPr>
                <w:sz w:val="24"/>
              </w:rPr>
              <w:t>施工期间废弃的建筑材料如砂石、石灰、混凝土、木材、废砖、土石方等；</w:t>
            </w:r>
            <w:r>
              <w:rPr>
                <w:rFonts w:hint="eastAsia"/>
                <w:sz w:val="24"/>
              </w:rPr>
              <w:t>⑵</w:t>
            </w:r>
            <w:r>
              <w:rPr>
                <w:sz w:val="24"/>
              </w:rPr>
              <w:t>现场施工人员的日常生活产生的一定数量的生活垃圾。</w:t>
            </w:r>
          </w:p>
          <w:p>
            <w:pPr>
              <w:spacing w:line="360" w:lineRule="auto"/>
              <w:ind w:firstLine="480" w:firstLineChars="200"/>
              <w:rPr>
                <w:rFonts w:hint="eastAsia"/>
                <w:sz w:val="24"/>
              </w:rPr>
            </w:pPr>
            <w:r>
              <w:rPr>
                <w:sz w:val="24"/>
              </w:rPr>
              <w:t>施工过程中建筑垃圾要做到集中收集、及时清运，防止其乱堆放、或长期堆放而产生扬尘污染。施工结束后，要及时清理施工现场，拆除临时工棚等临时建筑物，废弃的建筑材料必须送到指定地点处置。生活垃圾</w:t>
            </w:r>
            <w:r>
              <w:rPr>
                <w:rFonts w:hint="eastAsia"/>
                <w:sz w:val="24"/>
              </w:rPr>
              <w:t>应</w:t>
            </w:r>
            <w:r>
              <w:rPr>
                <w:sz w:val="24"/>
              </w:rPr>
              <w:t>集中收集、及时清运</w:t>
            </w:r>
            <w:r>
              <w:rPr>
                <w:rFonts w:hint="eastAsia"/>
                <w:sz w:val="24"/>
              </w:rPr>
              <w:t>交环卫部门处理处置</w:t>
            </w:r>
            <w:r>
              <w:rPr>
                <w:sz w:val="24"/>
              </w:rPr>
              <w:t>，防止因长期堆放产生的腐烂变质、滋生蚊虫苍蝇，产生恶臭，传染疾病，从而对周围环境和作业人员的健康带来不利影响。</w:t>
            </w:r>
          </w:p>
          <w:p>
            <w:pPr>
              <w:spacing w:line="360" w:lineRule="auto"/>
              <w:ind w:firstLine="480" w:firstLineChars="200"/>
              <w:rPr>
                <w:rFonts w:hint="eastAsia"/>
                <w:sz w:val="24"/>
              </w:rPr>
            </w:pPr>
            <w:r>
              <w:rPr>
                <w:rFonts w:hint="eastAsia"/>
                <w:sz w:val="24"/>
              </w:rPr>
              <w:t>5、施工期土方平衡和水土流失影响</w:t>
            </w:r>
          </w:p>
          <w:p>
            <w:pPr>
              <w:spacing w:line="360" w:lineRule="auto"/>
              <w:ind w:firstLine="480" w:firstLineChars="200"/>
              <w:rPr>
                <w:rFonts w:hint="eastAsia"/>
                <w:sz w:val="24"/>
              </w:rPr>
            </w:pPr>
            <w:r>
              <w:rPr>
                <w:rFonts w:hint="eastAsia"/>
                <w:sz w:val="24"/>
              </w:rPr>
              <w:t>⑴土方平衡</w:t>
            </w:r>
          </w:p>
          <w:p>
            <w:pPr>
              <w:spacing w:line="360" w:lineRule="auto"/>
              <w:ind w:firstLine="480" w:firstLineChars="200"/>
              <w:rPr>
                <w:rFonts w:hint="eastAsia"/>
                <w:sz w:val="24"/>
              </w:rPr>
            </w:pPr>
            <w:r>
              <w:rPr>
                <w:rFonts w:hint="eastAsia"/>
                <w:sz w:val="24"/>
              </w:rPr>
              <w:t>根据工程概况和项目设计资料，本项目挖方</w:t>
            </w:r>
            <w:r>
              <w:rPr>
                <w:rFonts w:hint="eastAsia" w:hAnsi="宋体"/>
                <w:sz w:val="24"/>
              </w:rPr>
              <w:t>除部分用作绿化填土和场地抬高外，剩余挖方按规定运往指定地点堆放，本项目不另设弃土场。</w:t>
            </w:r>
          </w:p>
          <w:p>
            <w:pPr>
              <w:spacing w:line="360" w:lineRule="auto"/>
              <w:ind w:firstLine="480" w:firstLineChars="200"/>
              <w:rPr>
                <w:rFonts w:hint="eastAsia"/>
                <w:sz w:val="24"/>
              </w:rPr>
            </w:pPr>
            <w:r>
              <w:rPr>
                <w:rFonts w:hint="eastAsia"/>
                <w:sz w:val="24"/>
              </w:rPr>
              <w:t>⑵水土流失</w:t>
            </w:r>
          </w:p>
          <w:p>
            <w:pPr>
              <w:spacing w:line="360" w:lineRule="auto"/>
              <w:ind w:firstLine="480" w:firstLineChars="200"/>
              <w:rPr>
                <w:sz w:val="24"/>
              </w:rPr>
            </w:pPr>
            <w:r>
              <w:rPr>
                <w:rFonts w:hint="eastAsia"/>
                <w:sz w:val="24"/>
              </w:rPr>
              <w:t>本项目所用地形比较平整，本项目施工期水土流失主要是由于场地平整堆存造成的。水土流失采用下式计算：</w:t>
            </w:r>
          </w:p>
          <w:p>
            <w:pPr>
              <w:autoSpaceDE w:val="0"/>
              <w:autoSpaceDN w:val="0"/>
              <w:adjustRightInd w:val="0"/>
              <w:spacing w:line="360" w:lineRule="auto"/>
              <w:ind w:firstLine="843" w:firstLineChars="350"/>
              <w:jc w:val="center"/>
              <w:rPr>
                <w:b/>
                <w:i/>
                <w:iCs/>
                <w:kern w:val="0"/>
                <w:sz w:val="24"/>
              </w:rPr>
            </w:pPr>
            <w:r>
              <w:rPr>
                <w:b/>
                <w:i/>
                <w:iCs/>
                <w:kern w:val="0"/>
                <w:sz w:val="24"/>
              </w:rPr>
              <w:t>A</w:t>
            </w:r>
            <w:r>
              <w:rPr>
                <w:rFonts w:ascii="SymbolMT" w:hAnsi="Arial" w:eastAsia="SymbolMT" w:cs="SymbolMT"/>
                <w:b/>
                <w:kern w:val="0"/>
                <w:sz w:val="24"/>
              </w:rPr>
              <w:t>=</w:t>
            </w:r>
            <w:r>
              <w:rPr>
                <w:b/>
                <w:i/>
                <w:iCs/>
                <w:kern w:val="0"/>
                <w:sz w:val="24"/>
              </w:rPr>
              <w:t>R</w:t>
            </w:r>
            <w:r>
              <w:rPr>
                <w:b/>
                <w:i/>
                <w:iCs/>
                <w:kern w:val="0"/>
                <w:position w:val="-2"/>
                <w:sz w:val="24"/>
              </w:rPr>
              <w:object>
                <v:shape id="_x0000_i1027" o:spt="75" type="#_x0000_t75" style="height:8.95pt;width:8.95pt;" o:ole="t" filled="f" stroked="f" coordsize="21600,21600">
                  <v:path/>
                  <v:fill on="f" focussize="0,0"/>
                  <v:stroke on="f"/>
                  <v:imagedata r:id="rId20" o:title=""/>
                  <o:lock v:ext="edit" grouping="f" rotation="f" text="f" aspectratio="t"/>
                  <w10:wrap type="none"/>
                  <w10:anchorlock/>
                </v:shape>
                <o:OLEObject Type="Embed" ProgID="Equation.KSEE3" ShapeID="_x0000_i1027" DrawAspect="Content" ObjectID="_1468075726" r:id="rId19"/>
              </w:object>
            </w:r>
            <w:r>
              <w:rPr>
                <w:b/>
                <w:i/>
                <w:iCs/>
                <w:kern w:val="0"/>
                <w:sz w:val="24"/>
              </w:rPr>
              <w:t>K</w:t>
            </w:r>
            <w:r>
              <w:rPr>
                <w:b/>
                <w:i/>
                <w:iCs/>
                <w:kern w:val="0"/>
                <w:position w:val="-2"/>
                <w:sz w:val="24"/>
              </w:rPr>
              <w:object>
                <v:shape id="_x0000_i1028" o:spt="75" type="#_x0000_t75" style="height:8.95pt;width:8.95pt;" o:ole="t" filled="f" stroked="f" coordsize="21600,21600">
                  <v:path/>
                  <v:fill on="f" focussize="0,0"/>
                  <v:stroke on="f"/>
                  <v:imagedata r:id="rId20" o:title=""/>
                  <o:lock v:ext="edit" grouping="f" rotation="f" text="f" aspectratio="t"/>
                  <w10:wrap type="none"/>
                  <w10:anchorlock/>
                </v:shape>
                <o:OLEObject Type="Embed" ProgID="Equation.KSEE3" ShapeID="_x0000_i1028" DrawAspect="Content" ObjectID="_1468075727" r:id="rId21"/>
              </w:object>
            </w:r>
            <w:r>
              <w:rPr>
                <w:b/>
                <w:i/>
                <w:iCs/>
                <w:kern w:val="0"/>
                <w:sz w:val="24"/>
              </w:rPr>
              <w:t>LS</w:t>
            </w:r>
            <w:r>
              <w:rPr>
                <w:b/>
                <w:i/>
                <w:iCs/>
                <w:kern w:val="0"/>
                <w:position w:val="-2"/>
                <w:sz w:val="24"/>
              </w:rPr>
              <w:object>
                <v:shape id="_x0000_i1029" o:spt="75" type="#_x0000_t75" style="height:8.95pt;width:8.95pt;" o:ole="t" filled="f" stroked="f" coordsize="21600,21600">
                  <v:path/>
                  <v:fill on="f" focussize="0,0"/>
                  <v:stroke on="f"/>
                  <v:imagedata r:id="rId20" o:title=""/>
                  <o:lock v:ext="edit" grouping="f" rotation="f" text="f" aspectratio="t"/>
                  <w10:wrap type="none"/>
                  <w10:anchorlock/>
                </v:shape>
                <o:OLEObject Type="Embed" ProgID="Equation.KSEE3" ShapeID="_x0000_i1029" DrawAspect="Content" ObjectID="_1468075728" r:id="rId22"/>
              </w:object>
            </w:r>
            <w:r>
              <w:rPr>
                <w:b/>
                <w:i/>
                <w:iCs/>
                <w:kern w:val="0"/>
                <w:sz w:val="24"/>
              </w:rPr>
              <w:t>C</w:t>
            </w:r>
            <w:r>
              <w:rPr>
                <w:b/>
                <w:i/>
                <w:iCs/>
                <w:kern w:val="0"/>
                <w:position w:val="-2"/>
                <w:sz w:val="24"/>
              </w:rPr>
              <w:object>
                <v:shape id="_x0000_i1030" o:spt="75" type="#_x0000_t75" style="height:8.95pt;width:8.95pt;" o:ole="t" filled="f" stroked="f" coordsize="21600,21600">
                  <v:path/>
                  <v:fill on="f" focussize="0,0"/>
                  <v:stroke on="f"/>
                  <v:imagedata r:id="rId20" o:title=""/>
                  <o:lock v:ext="edit" grouping="f" rotation="f" text="f" aspectratio="t"/>
                  <w10:wrap type="none"/>
                  <w10:anchorlock/>
                </v:shape>
                <o:OLEObject Type="Embed" ProgID="Equation.KSEE3" ShapeID="_x0000_i1030" DrawAspect="Content" ObjectID="_1468075729" r:id="rId23"/>
              </w:object>
            </w:r>
            <w:r>
              <w:rPr>
                <w:b/>
                <w:i/>
                <w:iCs/>
                <w:kern w:val="0"/>
                <w:sz w:val="24"/>
              </w:rPr>
              <w:t>P</w:t>
            </w:r>
          </w:p>
          <w:p>
            <w:pPr>
              <w:autoSpaceDE w:val="0"/>
              <w:autoSpaceDN w:val="0"/>
              <w:adjustRightInd w:val="0"/>
              <w:spacing w:line="360" w:lineRule="auto"/>
              <w:ind w:firstLine="480" w:firstLineChars="200"/>
              <w:jc w:val="left"/>
              <w:rPr>
                <w:rFonts w:ascii="宋体" w:hAnsi="Arial" w:cs="宋体"/>
                <w:kern w:val="0"/>
                <w:sz w:val="24"/>
              </w:rPr>
            </w:pPr>
            <w:r>
              <w:rPr>
                <w:rFonts w:hint="eastAsia" w:ascii="宋体" w:hAnsi="Arial" w:cs="宋体"/>
                <w:kern w:val="0"/>
                <w:sz w:val="24"/>
              </w:rPr>
              <w:t>式中：</w:t>
            </w:r>
            <w:r>
              <w:rPr>
                <w:rFonts w:ascii="TimesNewRomanPSMT" w:hAnsi="TimesNewRomanPSMT" w:cs="TimesNewRomanPSMT"/>
                <w:b/>
                <w:i/>
                <w:kern w:val="0"/>
                <w:sz w:val="24"/>
              </w:rPr>
              <w:t>A</w:t>
            </w:r>
            <w:r>
              <w:rPr>
                <w:rFonts w:hint="eastAsia" w:ascii="宋体" w:hAnsi="Arial" w:cs="宋体"/>
                <w:kern w:val="0"/>
                <w:sz w:val="24"/>
              </w:rPr>
              <w:t>：土壤侵蚀模数，</w:t>
            </w:r>
            <w:r>
              <w:rPr>
                <w:rFonts w:ascii="TimesNewRomanPSMT" w:hAnsi="TimesNewRomanPSMT" w:cs="TimesNewRomanPSMT"/>
                <w:kern w:val="0"/>
                <w:sz w:val="24"/>
              </w:rPr>
              <w:t>t/(km</w:t>
            </w:r>
            <w:r>
              <w:rPr>
                <w:rFonts w:ascii="TimesNewRomanPSMT" w:hAnsi="TimesNewRomanPSMT" w:cs="TimesNewRomanPSMT"/>
                <w:kern w:val="0"/>
                <w:sz w:val="24"/>
                <w:vertAlign w:val="superscript"/>
              </w:rPr>
              <w:t>2</w:t>
            </w:r>
            <w:r>
              <w:rPr>
                <w:rFonts w:hint="eastAsia" w:ascii="宋体" w:hAnsi="Arial" w:cs="宋体"/>
                <w:kern w:val="0"/>
                <w:sz w:val="24"/>
              </w:rPr>
              <w:t>·</w:t>
            </w:r>
            <w:r>
              <w:rPr>
                <w:rFonts w:ascii="TimesNewRomanPSMT" w:hAnsi="TimesNewRomanPSMT" w:cs="TimesNewRomanPSMT"/>
                <w:kern w:val="0"/>
                <w:sz w:val="24"/>
              </w:rPr>
              <w:t>a)</w:t>
            </w:r>
            <w:r>
              <w:rPr>
                <w:rFonts w:hint="eastAsia" w:ascii="宋体" w:hAnsi="Arial" w:cs="宋体"/>
                <w:kern w:val="0"/>
                <w:sz w:val="24"/>
              </w:rPr>
              <w:t>；</w:t>
            </w:r>
          </w:p>
          <w:p>
            <w:pPr>
              <w:autoSpaceDE w:val="0"/>
              <w:autoSpaceDN w:val="0"/>
              <w:adjustRightInd w:val="0"/>
              <w:spacing w:line="360" w:lineRule="auto"/>
              <w:ind w:firstLine="1205" w:firstLineChars="500"/>
              <w:jc w:val="left"/>
              <w:rPr>
                <w:rFonts w:ascii="宋体" w:hAnsi="Arial" w:cs="宋体"/>
                <w:kern w:val="0"/>
                <w:sz w:val="24"/>
              </w:rPr>
            </w:pPr>
            <w:r>
              <w:rPr>
                <w:rFonts w:ascii="TimesNewRomanPSMT" w:hAnsi="TimesNewRomanPSMT" w:cs="TimesNewRomanPSMT"/>
                <w:b/>
                <w:i/>
                <w:kern w:val="0"/>
                <w:sz w:val="24"/>
              </w:rPr>
              <w:t>R</w:t>
            </w:r>
            <w:r>
              <w:rPr>
                <w:rFonts w:hint="eastAsia" w:ascii="宋体" w:hAnsi="Arial" w:cs="宋体"/>
                <w:kern w:val="0"/>
                <w:sz w:val="24"/>
              </w:rPr>
              <w:t>：降雨侵蚀因子；</w:t>
            </w:r>
          </w:p>
          <w:p>
            <w:pPr>
              <w:autoSpaceDE w:val="0"/>
              <w:autoSpaceDN w:val="0"/>
              <w:adjustRightInd w:val="0"/>
              <w:spacing w:line="360" w:lineRule="auto"/>
              <w:ind w:firstLine="1205" w:firstLineChars="500"/>
              <w:jc w:val="left"/>
              <w:rPr>
                <w:rFonts w:ascii="宋体" w:hAnsi="Arial" w:cs="宋体"/>
                <w:kern w:val="0"/>
                <w:sz w:val="24"/>
              </w:rPr>
            </w:pPr>
            <w:r>
              <w:rPr>
                <w:rFonts w:ascii="TimesNewRomanPSMT" w:hAnsi="TimesNewRomanPSMT" w:cs="TimesNewRomanPSMT"/>
                <w:b/>
                <w:i/>
                <w:kern w:val="0"/>
                <w:sz w:val="24"/>
              </w:rPr>
              <w:t>K</w:t>
            </w:r>
            <w:r>
              <w:rPr>
                <w:rFonts w:hint="eastAsia" w:ascii="宋体" w:hAnsi="Arial" w:cs="宋体"/>
                <w:kern w:val="0"/>
                <w:sz w:val="24"/>
              </w:rPr>
              <w:t>：土壤可侵蚀因子；</w:t>
            </w:r>
          </w:p>
          <w:p>
            <w:pPr>
              <w:autoSpaceDE w:val="0"/>
              <w:autoSpaceDN w:val="0"/>
              <w:adjustRightInd w:val="0"/>
              <w:spacing w:line="360" w:lineRule="auto"/>
              <w:ind w:firstLine="1205" w:firstLineChars="500"/>
              <w:jc w:val="left"/>
              <w:rPr>
                <w:rFonts w:ascii="宋体" w:hAnsi="Arial" w:cs="宋体"/>
                <w:kern w:val="0"/>
                <w:sz w:val="24"/>
              </w:rPr>
            </w:pPr>
            <w:r>
              <w:rPr>
                <w:rFonts w:ascii="TimesNewRomanPSMT" w:hAnsi="TimesNewRomanPSMT" w:cs="TimesNewRomanPSMT"/>
                <w:b/>
                <w:i/>
                <w:kern w:val="0"/>
                <w:sz w:val="24"/>
              </w:rPr>
              <w:t>C</w:t>
            </w:r>
            <w:r>
              <w:rPr>
                <w:rFonts w:hint="eastAsia" w:ascii="宋体" w:hAnsi="Arial" w:cs="宋体"/>
                <w:kern w:val="0"/>
                <w:sz w:val="24"/>
              </w:rPr>
              <w:t>：覆盖和管理因子；</w:t>
            </w:r>
          </w:p>
          <w:p>
            <w:pPr>
              <w:autoSpaceDE w:val="0"/>
              <w:autoSpaceDN w:val="0"/>
              <w:adjustRightInd w:val="0"/>
              <w:spacing w:line="360" w:lineRule="auto"/>
              <w:ind w:firstLine="1205" w:firstLineChars="500"/>
              <w:jc w:val="left"/>
              <w:rPr>
                <w:rFonts w:ascii="宋体" w:hAnsi="Arial" w:cs="宋体"/>
                <w:kern w:val="0"/>
                <w:sz w:val="24"/>
              </w:rPr>
            </w:pPr>
            <w:r>
              <w:rPr>
                <w:rFonts w:ascii="TimesNewRomanPSMT" w:hAnsi="TimesNewRomanPSMT" w:cs="TimesNewRomanPSMT"/>
                <w:b/>
                <w:i/>
                <w:kern w:val="0"/>
                <w:sz w:val="24"/>
              </w:rPr>
              <w:t>P</w:t>
            </w:r>
            <w:r>
              <w:rPr>
                <w:rFonts w:hint="eastAsia" w:ascii="宋体" w:hAnsi="Arial" w:cs="宋体"/>
                <w:kern w:val="0"/>
                <w:sz w:val="24"/>
              </w:rPr>
              <w:t>：水土保持因子；</w:t>
            </w:r>
          </w:p>
          <w:p>
            <w:pPr>
              <w:autoSpaceDE w:val="0"/>
              <w:autoSpaceDN w:val="0"/>
              <w:adjustRightInd w:val="0"/>
              <w:ind w:firstLine="1084" w:firstLineChars="450"/>
              <w:jc w:val="left"/>
              <w:rPr>
                <w:rFonts w:ascii="宋体" w:hAnsi="Arial" w:cs="宋体"/>
                <w:kern w:val="0"/>
                <w:sz w:val="24"/>
              </w:rPr>
            </w:pPr>
            <w:r>
              <w:rPr>
                <w:rFonts w:ascii="TimesNewRomanPSMT" w:hAnsi="TimesNewRomanPSMT" w:cs="TimesNewRomanPSMT"/>
                <w:b/>
                <w:i/>
                <w:kern w:val="0"/>
                <w:sz w:val="24"/>
              </w:rPr>
              <w:t>LS</w:t>
            </w:r>
            <w:r>
              <w:rPr>
                <w:rFonts w:hint="eastAsia" w:ascii="宋体" w:hAnsi="Arial" w:cs="宋体"/>
                <w:kern w:val="0"/>
                <w:sz w:val="24"/>
              </w:rPr>
              <w:t>：地形因子，</w:t>
            </w:r>
            <w:r>
              <w:rPr>
                <w:position w:val="-24"/>
                <w:sz w:val="24"/>
              </w:rPr>
              <w:object>
                <v:shape id="_x0000_i1031" o:spt="75" type="#_x0000_t75" style="height:31pt;width:233pt;" o:ole="t" filled="f" stroked="f" coordsize="21600,21600">
                  <v:path/>
                  <v:fill on="f" focussize="0,0"/>
                  <v:stroke on="f"/>
                  <v:imagedata r:id="rId25" o:title=""/>
                  <o:lock v:ext="edit" grouping="f" rotation="f" text="f" aspectratio="t"/>
                  <w10:wrap type="none"/>
                  <w10:anchorlock/>
                </v:shape>
                <o:OLEObject Type="Embed" ProgID="Equation.DSMT4" ShapeID="_x0000_i1031" DrawAspect="Content" ObjectID="_1468075730" r:id="rId24"/>
              </w:object>
            </w:r>
          </w:p>
          <w:p>
            <w:pPr>
              <w:autoSpaceDE w:val="0"/>
              <w:autoSpaceDN w:val="0"/>
              <w:adjustRightInd w:val="0"/>
              <w:ind w:firstLine="1920" w:firstLineChars="800"/>
              <w:jc w:val="left"/>
              <w:rPr>
                <w:rFonts w:hint="eastAsia" w:ascii="SymbolMT" w:hAnsi="Arial" w:eastAsia="SymbolMT" w:cs="SymbolMT"/>
                <w:kern w:val="0"/>
                <w:sz w:val="24"/>
              </w:rPr>
            </w:pPr>
            <w:r>
              <w:rPr>
                <w:rFonts w:hint="eastAsia" w:ascii="宋体" w:hAnsi="Arial" w:cs="宋体"/>
                <w:kern w:val="0"/>
                <w:sz w:val="24"/>
              </w:rPr>
              <w:t>其中</w:t>
            </w:r>
            <w:r>
              <w:rPr>
                <w:rFonts w:ascii="宋体" w:hAnsi="Arial" w:cs="宋体"/>
                <w:kern w:val="0"/>
                <w:sz w:val="24"/>
              </w:rPr>
              <w:object>
                <v:shape id="_x0000_i1032" o:spt="75" type="#_x0000_t75" style="height:13.95pt;width:11pt;" o:ole="t" filled="f" stroked="f" coordsize="21600,21600">
                  <v:path/>
                  <v:fill on="f" focussize="0,0"/>
                  <v:stroke on="f"/>
                  <v:imagedata r:id="rId27" o:title=""/>
                  <o:lock v:ext="edit" grouping="f" rotation="f" text="f" aspectratio="t"/>
                  <w10:wrap type="none"/>
                  <w10:anchorlock/>
                </v:shape>
                <o:OLEObject Type="Embed" ProgID="Equation.DSMT4" ShapeID="_x0000_i1032" DrawAspect="Content" ObjectID="_1468075731" r:id="rId26"/>
              </w:object>
            </w:r>
            <w:r>
              <w:rPr>
                <w:rFonts w:hint="eastAsia" w:ascii="宋体" w:hAnsi="宋体" w:cs="宋体"/>
                <w:kern w:val="0"/>
                <w:sz w:val="24"/>
              </w:rPr>
              <w:t>为坡长，</w:t>
            </w:r>
            <w:r>
              <w:rPr>
                <w:position w:val="-6"/>
                <w:sz w:val="24"/>
              </w:rPr>
              <w:object>
                <v:shape id="_x0000_i1033" o:spt="75" type="#_x0000_t75" style="height:13.95pt;width:11pt;" o:ole="t" filled="f" stroked="f" coordsize="21600,21600">
                  <v:path/>
                  <v:fill on="f" focussize="0,0"/>
                  <v:stroke on="f"/>
                  <v:imagedata r:id="rId29" o:title=""/>
                  <o:lock v:ext="edit" grouping="f" rotation="f" text="f" aspectratio="t"/>
                  <w10:wrap type="none"/>
                  <w10:anchorlock/>
                </v:shape>
                <o:OLEObject Type="Embed" ProgID="Equation.DSMT4" ShapeID="_x0000_i1033" DrawAspect="Content" ObjectID="_1468075732" r:id="rId28"/>
              </w:object>
            </w:r>
            <w:r>
              <w:rPr>
                <w:rFonts w:hint="eastAsia"/>
                <w:sz w:val="24"/>
              </w:rPr>
              <w:t>为坡面的角度，m为经验指数，取0.5。</w:t>
            </w:r>
          </w:p>
          <w:p>
            <w:pPr>
              <w:autoSpaceDE w:val="0"/>
              <w:autoSpaceDN w:val="0"/>
              <w:adjustRightInd w:val="0"/>
              <w:ind w:firstLine="480" w:firstLineChars="200"/>
              <w:jc w:val="left"/>
              <w:rPr>
                <w:rFonts w:hint="eastAsia" w:ascii="宋体" w:hAnsi="宋体" w:cs="SymbolMT"/>
                <w:kern w:val="0"/>
                <w:sz w:val="24"/>
              </w:rPr>
            </w:pPr>
            <w:r>
              <w:rPr>
                <w:rFonts w:hint="eastAsia" w:ascii="宋体" w:hAnsi="宋体" w:cs="SymbolMT"/>
                <w:kern w:val="0"/>
                <w:sz w:val="24"/>
              </w:rPr>
              <w:t>将施工前后的土壤侵蚀模数相比，得</w:t>
            </w:r>
          </w:p>
          <w:p>
            <w:pPr>
              <w:autoSpaceDE w:val="0"/>
              <w:autoSpaceDN w:val="0"/>
              <w:adjustRightInd w:val="0"/>
              <w:spacing w:line="360" w:lineRule="auto"/>
              <w:ind w:firstLine="960" w:firstLineChars="400"/>
              <w:jc w:val="center"/>
              <w:rPr>
                <w:rFonts w:ascii="SymbolMT" w:hAnsi="Arial" w:eastAsia="SymbolMT" w:cs="SymbolMT"/>
                <w:kern w:val="0"/>
                <w:sz w:val="24"/>
              </w:rPr>
            </w:pPr>
            <w:r>
              <w:rPr>
                <w:position w:val="-30"/>
                <w:sz w:val="24"/>
              </w:rPr>
              <w:object>
                <v:shape id="_x0000_i1034" o:spt="75" type="#_x0000_t75" style="height:34pt;width:107pt;" o:ole="t" filled="f" stroked="f" coordsize="21600,21600">
                  <v:path/>
                  <v:fill on="f" focussize="0,0"/>
                  <v:stroke on="f"/>
                  <v:imagedata r:id="rId31" o:title=""/>
                  <o:lock v:ext="edit" grouping="f" rotation="f" text="f" aspectratio="t"/>
                  <w10:wrap type="none"/>
                  <w10:anchorlock/>
                </v:shape>
                <o:OLEObject Type="Embed" ProgID="Equation.DSMT4" ShapeID="_x0000_i1034" DrawAspect="Content" ObjectID="_1468075733" r:id="rId30"/>
              </w:object>
            </w:r>
          </w:p>
          <w:p>
            <w:pPr>
              <w:autoSpaceDE w:val="0"/>
              <w:autoSpaceDN w:val="0"/>
              <w:adjustRightInd w:val="0"/>
              <w:spacing w:line="360" w:lineRule="auto"/>
              <w:ind w:firstLine="480" w:firstLineChars="200"/>
              <w:jc w:val="left"/>
              <w:rPr>
                <w:kern w:val="0"/>
                <w:sz w:val="24"/>
              </w:rPr>
            </w:pPr>
            <w:r>
              <w:rPr>
                <w:kern w:val="0"/>
                <w:sz w:val="24"/>
              </w:rPr>
              <w:t>其中A</w:t>
            </w:r>
            <w:r>
              <w:rPr>
                <w:rFonts w:hint="eastAsia"/>
                <w:kern w:val="0"/>
                <w:sz w:val="24"/>
                <w:vertAlign w:val="subscript"/>
              </w:rPr>
              <w:t>0</w:t>
            </w:r>
            <w:r>
              <w:rPr>
                <w:kern w:val="0"/>
                <w:sz w:val="24"/>
              </w:rPr>
              <w:t>为施工前的土壤侵蚀模数，A为施工期平整场地的土壤侵蚀模数。平整场地时，地表由植被覆盖变为裸露的压实土层，取</w:t>
            </w:r>
            <w:r>
              <w:rPr>
                <w:rFonts w:hint="eastAsia"/>
                <w:b/>
                <w:i/>
                <w:sz w:val="24"/>
              </w:rPr>
              <w:t>K</w:t>
            </w:r>
            <w:r>
              <w:rPr>
                <w:kern w:val="0"/>
                <w:sz w:val="24"/>
              </w:rPr>
              <w:t>=</w:t>
            </w:r>
            <w:r>
              <w:rPr>
                <w:rFonts w:hint="eastAsia"/>
                <w:b/>
                <w:i/>
                <w:sz w:val="24"/>
              </w:rPr>
              <w:t>K</w:t>
            </w:r>
            <w:r>
              <w:rPr>
                <w:rFonts w:hint="eastAsia"/>
                <w:b/>
                <w:i/>
                <w:sz w:val="24"/>
                <w:vertAlign w:val="subscript"/>
              </w:rPr>
              <w:t>0</w:t>
            </w:r>
            <w:r>
              <w:rPr>
                <w:kern w:val="0"/>
                <w:sz w:val="24"/>
              </w:rPr>
              <w:t>、</w:t>
            </w:r>
            <w:r>
              <w:rPr>
                <w:rFonts w:hint="eastAsia"/>
                <w:b/>
                <w:i/>
                <w:sz w:val="24"/>
              </w:rPr>
              <w:t>LS</w:t>
            </w:r>
            <w:r>
              <w:rPr>
                <w:kern w:val="0"/>
                <w:sz w:val="24"/>
              </w:rPr>
              <w:t>=</w:t>
            </w:r>
            <w:r>
              <w:rPr>
                <w:rFonts w:hint="eastAsia"/>
                <w:b/>
                <w:i/>
                <w:sz w:val="24"/>
              </w:rPr>
              <w:t>LS</w:t>
            </w:r>
            <w:r>
              <w:rPr>
                <w:rFonts w:hint="eastAsia"/>
                <w:b/>
                <w:i/>
                <w:sz w:val="24"/>
                <w:vertAlign w:val="subscript"/>
              </w:rPr>
              <w:t>0</w:t>
            </w:r>
            <w:r>
              <w:rPr>
                <w:kern w:val="0"/>
                <w:sz w:val="24"/>
              </w:rPr>
              <w:t>、</w:t>
            </w:r>
            <w:r>
              <w:rPr>
                <w:rFonts w:hint="eastAsia"/>
                <w:b/>
                <w:i/>
                <w:sz w:val="24"/>
              </w:rPr>
              <w:t>C</w:t>
            </w:r>
            <w:r>
              <w:rPr>
                <w:kern w:val="0"/>
                <w:sz w:val="24"/>
              </w:rPr>
              <w:t>=1.0、</w:t>
            </w:r>
            <w:r>
              <w:rPr>
                <w:rFonts w:hint="eastAsia"/>
                <w:b/>
                <w:i/>
                <w:sz w:val="24"/>
              </w:rPr>
              <w:t>C</w:t>
            </w:r>
            <w:r>
              <w:rPr>
                <w:rFonts w:hint="eastAsia"/>
                <w:b/>
                <w:i/>
                <w:sz w:val="24"/>
                <w:vertAlign w:val="subscript"/>
              </w:rPr>
              <w:t>0</w:t>
            </w:r>
            <w:r>
              <w:rPr>
                <w:kern w:val="0"/>
                <w:sz w:val="24"/>
              </w:rPr>
              <w:t>=0.5、</w:t>
            </w:r>
            <w:r>
              <w:rPr>
                <w:rFonts w:hint="eastAsia"/>
                <w:b/>
                <w:i/>
                <w:sz w:val="24"/>
              </w:rPr>
              <w:t>P</w:t>
            </w:r>
            <w:r>
              <w:rPr>
                <w:kern w:val="0"/>
                <w:sz w:val="24"/>
              </w:rPr>
              <w:t>=0.7、</w:t>
            </w:r>
            <w:r>
              <w:rPr>
                <w:rFonts w:hint="eastAsia"/>
                <w:b/>
                <w:i/>
                <w:sz w:val="24"/>
              </w:rPr>
              <w:t>P</w:t>
            </w:r>
            <w:r>
              <w:rPr>
                <w:rFonts w:hint="eastAsia"/>
                <w:b/>
                <w:i/>
                <w:sz w:val="24"/>
                <w:vertAlign w:val="subscript"/>
              </w:rPr>
              <w:t>0</w:t>
            </w:r>
            <w:r>
              <w:rPr>
                <w:kern w:val="0"/>
                <w:sz w:val="24"/>
              </w:rPr>
              <w:t>=0.5，则</w:t>
            </w:r>
            <w:r>
              <w:rPr>
                <w:rFonts w:hint="eastAsia"/>
                <w:b/>
                <w:i/>
                <w:sz w:val="24"/>
              </w:rPr>
              <w:t>A/A</w:t>
            </w:r>
            <w:r>
              <w:rPr>
                <w:rFonts w:hint="eastAsia"/>
                <w:b/>
                <w:i/>
                <w:sz w:val="24"/>
                <w:vertAlign w:val="subscript"/>
              </w:rPr>
              <w:t>0</w:t>
            </w:r>
            <w:r>
              <w:rPr>
                <w:kern w:val="0"/>
                <w:sz w:val="24"/>
              </w:rPr>
              <w:t>=2.6。</w:t>
            </w:r>
          </w:p>
          <w:p>
            <w:pPr>
              <w:autoSpaceDE w:val="0"/>
              <w:autoSpaceDN w:val="0"/>
              <w:adjustRightInd w:val="0"/>
              <w:spacing w:line="360" w:lineRule="auto"/>
              <w:ind w:firstLine="480" w:firstLineChars="200"/>
              <w:jc w:val="left"/>
              <w:rPr>
                <w:rFonts w:hint="eastAsia"/>
                <w:sz w:val="24"/>
              </w:rPr>
            </w:pPr>
            <w:r>
              <w:rPr>
                <w:kern w:val="0"/>
                <w:sz w:val="24"/>
              </w:rPr>
              <w:t>上述结果说明，施工期平整场地时，土地的土壤侵蚀模数将为原来的2.6倍。施工前的土壤侵蚀强度为微度，侵蚀模数＜500，则施工期原地块的侵蚀模数将增加为1100，为轻度侵蚀</w:t>
            </w:r>
            <w:r>
              <w:rPr>
                <w:rFonts w:hint="eastAsia"/>
                <w:kern w:val="0"/>
                <w:sz w:val="24"/>
              </w:rPr>
              <w:t>。本项目施工期水土流失为轻度侵蚀，水土流失的影响较小；施工结束后项目用地地面均为水泥固化地面，不会产生水土流失。</w:t>
            </w:r>
          </w:p>
          <w:p>
            <w:pPr>
              <w:spacing w:line="360" w:lineRule="auto"/>
              <w:ind w:firstLine="480" w:firstLineChars="200"/>
              <w:rPr>
                <w:rFonts w:hint="eastAsia"/>
                <w:sz w:val="24"/>
              </w:rPr>
            </w:pPr>
            <w:r>
              <w:rPr>
                <w:rFonts w:hint="eastAsia"/>
                <w:sz w:val="24"/>
              </w:rPr>
              <w:t>5、生态环境影响分析</w:t>
            </w:r>
          </w:p>
          <w:p>
            <w:pPr>
              <w:spacing w:line="360" w:lineRule="auto"/>
              <w:ind w:firstLine="480" w:firstLineChars="200"/>
              <w:rPr>
                <w:rFonts w:hint="eastAsia"/>
                <w:sz w:val="24"/>
              </w:rPr>
            </w:pPr>
            <w:r>
              <w:rPr>
                <w:rFonts w:hint="eastAsia"/>
                <w:sz w:val="24"/>
              </w:rPr>
              <w:t>项目建设用地现状为净地，无自然和人工动植物存在，施工期建设活动对生态的影响主要为地面覆盖层的扰动和水土流失。</w:t>
            </w:r>
          </w:p>
          <w:p>
            <w:pPr>
              <w:spacing w:line="360" w:lineRule="auto"/>
              <w:ind w:firstLine="480" w:firstLineChars="200"/>
              <w:rPr>
                <w:rFonts w:hint="eastAsia"/>
                <w:sz w:val="24"/>
              </w:rPr>
            </w:pPr>
            <w:r>
              <w:rPr>
                <w:rFonts w:hint="eastAsia"/>
                <w:sz w:val="24"/>
              </w:rPr>
              <w:t>项目施工期拟采取以下防治措施：</w:t>
            </w:r>
          </w:p>
          <w:p>
            <w:pPr>
              <w:spacing w:line="360" w:lineRule="auto"/>
              <w:ind w:firstLine="480" w:firstLineChars="200"/>
              <w:rPr>
                <w:rFonts w:hint="eastAsia"/>
                <w:sz w:val="24"/>
              </w:rPr>
            </w:pPr>
            <w:r>
              <w:rPr>
                <w:rFonts w:hint="eastAsia" w:ascii="宋体" w:hAnsi="宋体" w:cs="宋体"/>
                <w:sz w:val="24"/>
              </w:rPr>
              <w:t>⑴</w:t>
            </w:r>
            <w:r>
              <w:rPr>
                <w:rFonts w:hint="eastAsia"/>
                <w:sz w:val="24"/>
              </w:rPr>
              <w:t>大风天气、暴雨天气状况下停止施工，并对建筑材料堆场进行遮盖挡雨处理；</w:t>
            </w:r>
          </w:p>
          <w:p>
            <w:pPr>
              <w:spacing w:line="360" w:lineRule="auto"/>
              <w:ind w:firstLine="480" w:firstLineChars="200"/>
              <w:rPr>
                <w:rFonts w:hint="eastAsia"/>
                <w:sz w:val="24"/>
              </w:rPr>
            </w:pPr>
            <w:r>
              <w:rPr>
                <w:rFonts w:hint="eastAsia" w:ascii="宋体" w:hAnsi="宋体" w:cs="宋体"/>
                <w:sz w:val="24"/>
              </w:rPr>
              <w:t>⑵</w:t>
            </w:r>
            <w:r>
              <w:rPr>
                <w:rFonts w:hint="eastAsia"/>
                <w:sz w:val="24"/>
              </w:rPr>
              <w:t>土石方应统一堆放、及时回填或处理，</w:t>
            </w:r>
            <w:r>
              <w:rPr>
                <w:sz w:val="24"/>
              </w:rPr>
              <w:t>缩短挖填土石方的堆置时间</w:t>
            </w:r>
            <w:r>
              <w:rPr>
                <w:rFonts w:hint="eastAsia"/>
                <w:sz w:val="24"/>
              </w:rPr>
              <w:t>，避免因长期对方造成大面积水土流失；</w:t>
            </w:r>
          </w:p>
          <w:p>
            <w:pPr>
              <w:spacing w:line="360" w:lineRule="auto"/>
              <w:ind w:firstLine="480" w:firstLineChars="200"/>
              <w:rPr>
                <w:rFonts w:hint="eastAsia"/>
                <w:sz w:val="24"/>
              </w:rPr>
            </w:pPr>
            <w:r>
              <w:rPr>
                <w:rFonts w:hint="eastAsia" w:ascii="宋体" w:hAnsi="宋体" w:cs="宋体"/>
                <w:sz w:val="24"/>
              </w:rPr>
              <w:t>⑶</w:t>
            </w:r>
            <w:r>
              <w:rPr>
                <w:sz w:val="24"/>
              </w:rPr>
              <w:t>临时堆放场要设置围墙，做好防护工作，以减少水土流失</w:t>
            </w:r>
            <w:r>
              <w:rPr>
                <w:rFonts w:hint="eastAsia"/>
                <w:sz w:val="24"/>
              </w:rPr>
              <w:t>；</w:t>
            </w:r>
          </w:p>
          <w:p>
            <w:pPr>
              <w:spacing w:line="360" w:lineRule="auto"/>
              <w:ind w:firstLine="480" w:firstLineChars="200"/>
              <w:rPr>
                <w:rFonts w:hint="eastAsia"/>
                <w:sz w:val="24"/>
              </w:rPr>
            </w:pPr>
            <w:r>
              <w:rPr>
                <w:rFonts w:hint="eastAsia" w:ascii="宋体" w:hAnsi="宋体" w:cs="宋体"/>
                <w:sz w:val="24"/>
              </w:rPr>
              <w:t>⑷</w:t>
            </w:r>
            <w:r>
              <w:rPr>
                <w:sz w:val="24"/>
              </w:rPr>
              <w:t>经常向裸露地面洒水，使地面保持一定湿度；</w:t>
            </w:r>
          </w:p>
          <w:p>
            <w:pPr>
              <w:spacing w:line="360" w:lineRule="auto"/>
              <w:ind w:firstLine="480" w:firstLineChars="200"/>
              <w:rPr>
                <w:rFonts w:hint="eastAsia"/>
                <w:sz w:val="24"/>
              </w:rPr>
            </w:pPr>
            <w:r>
              <w:rPr>
                <w:rFonts w:hint="eastAsia"/>
                <w:sz w:val="24"/>
              </w:rPr>
              <w:t>⑸</w:t>
            </w:r>
            <w:r>
              <w:rPr>
                <w:sz w:val="24"/>
              </w:rPr>
              <w:t>临时堆放场采取防扬散、防雨淋措施；</w:t>
            </w:r>
          </w:p>
          <w:p>
            <w:pPr>
              <w:spacing w:line="360" w:lineRule="auto"/>
              <w:ind w:firstLine="480" w:firstLineChars="200"/>
              <w:rPr>
                <w:rFonts w:hint="eastAsia"/>
                <w:sz w:val="24"/>
              </w:rPr>
            </w:pPr>
            <w:r>
              <w:rPr>
                <w:rFonts w:hint="eastAsia"/>
                <w:sz w:val="24"/>
              </w:rPr>
              <w:t>⑹</w:t>
            </w:r>
            <w:r>
              <w:rPr>
                <w:sz w:val="24"/>
              </w:rPr>
              <w:t>土方开挖避免雨季施工，采取各项水土流失防范工作</w:t>
            </w:r>
            <w:r>
              <w:rPr>
                <w:rFonts w:hint="eastAsia"/>
                <w:sz w:val="24"/>
              </w:rPr>
              <w:t>。</w:t>
            </w:r>
          </w:p>
          <w:p>
            <w:pPr>
              <w:spacing w:line="360" w:lineRule="auto"/>
              <w:ind w:firstLine="480" w:firstLineChars="200"/>
              <w:rPr>
                <w:sz w:val="24"/>
              </w:rPr>
            </w:pPr>
            <w:r>
              <w:rPr>
                <w:rFonts w:hint="eastAsia"/>
                <w:sz w:val="24"/>
              </w:rPr>
              <w:t>本项目用地面积较小，施工期较短，经采取上述有效措施后，项目的建设对生态环境的影响较小。</w:t>
            </w:r>
          </w:p>
          <w:p>
            <w:pPr>
              <w:spacing w:line="360" w:lineRule="auto"/>
              <w:ind w:firstLine="480" w:firstLineChars="200"/>
              <w:rPr>
                <w:rFonts w:hint="eastAsia"/>
                <w:sz w:val="24"/>
              </w:rPr>
            </w:pPr>
            <w:r>
              <w:rPr>
                <w:rFonts w:hint="eastAsia"/>
                <w:sz w:val="24"/>
              </w:rPr>
              <w:t>6、地下水环境影响分析</w:t>
            </w:r>
          </w:p>
          <w:p>
            <w:pPr>
              <w:spacing w:line="360" w:lineRule="auto"/>
              <w:ind w:firstLine="480" w:firstLineChars="200"/>
              <w:rPr>
                <w:rFonts w:hint="eastAsia"/>
                <w:sz w:val="24"/>
              </w:rPr>
            </w:pPr>
            <w:r>
              <w:rPr>
                <w:sz w:val="24"/>
              </w:rPr>
              <w:t>施工期对地下水可能产生影响的</w:t>
            </w:r>
            <w:r>
              <w:rPr>
                <w:rFonts w:hint="eastAsia"/>
                <w:sz w:val="24"/>
              </w:rPr>
              <w:t>主要为基础</w:t>
            </w:r>
            <w:r>
              <w:rPr>
                <w:sz w:val="24"/>
              </w:rPr>
              <w:t>施工过程中</w:t>
            </w:r>
            <w:r>
              <w:rPr>
                <w:rFonts w:hint="eastAsia"/>
                <w:sz w:val="24"/>
              </w:rPr>
              <w:t>钻桩、打孔过程对地下水的影响。项目施工期拟对地下水保护采取以下防治措施：</w:t>
            </w:r>
          </w:p>
          <w:p>
            <w:pPr>
              <w:spacing w:line="360" w:lineRule="auto"/>
              <w:ind w:firstLine="480" w:firstLineChars="200"/>
              <w:rPr>
                <w:rFonts w:hint="eastAsia"/>
                <w:sz w:val="24"/>
              </w:rPr>
            </w:pPr>
            <w:r>
              <w:rPr>
                <w:rFonts w:hint="eastAsia"/>
                <w:sz w:val="24"/>
              </w:rPr>
              <w:t>⑴项目地基施工是对低洼处产生的施工废水及时收集，避免进入地下含水层；</w:t>
            </w:r>
          </w:p>
          <w:p>
            <w:pPr>
              <w:spacing w:line="360" w:lineRule="auto"/>
              <w:ind w:firstLine="480" w:firstLineChars="200"/>
              <w:rPr>
                <w:rFonts w:hint="eastAsia"/>
                <w:sz w:val="24"/>
              </w:rPr>
            </w:pPr>
            <w:r>
              <w:rPr>
                <w:rFonts w:hint="eastAsia"/>
                <w:sz w:val="24"/>
              </w:rPr>
              <w:t>⑵项目基础施工应经过正规地质勘探，避免基础施工钻桩、打孔等破外地下水层，致使地面水影响到地下水；</w:t>
            </w:r>
          </w:p>
          <w:p>
            <w:pPr>
              <w:spacing w:line="360" w:lineRule="auto"/>
              <w:ind w:firstLine="480" w:firstLineChars="200"/>
              <w:rPr>
                <w:rFonts w:hint="eastAsia"/>
                <w:sz w:val="24"/>
              </w:rPr>
            </w:pPr>
            <w:r>
              <w:rPr>
                <w:rFonts w:hint="eastAsia"/>
                <w:sz w:val="24"/>
              </w:rPr>
              <w:t>⑶基础施工时应采用先进的施工技术，减少对地下含水层的扰动；</w:t>
            </w:r>
          </w:p>
          <w:p>
            <w:pPr>
              <w:spacing w:line="360" w:lineRule="auto"/>
              <w:ind w:firstLine="480" w:firstLineChars="200"/>
              <w:rPr>
                <w:rFonts w:hint="eastAsia"/>
                <w:sz w:val="24"/>
              </w:rPr>
            </w:pPr>
            <w:r>
              <w:rPr>
                <w:sz w:val="24"/>
              </w:rPr>
              <w:fldChar w:fldCharType="begin"/>
            </w:r>
            <w:r>
              <w:rPr>
                <w:sz w:val="24"/>
              </w:rPr>
              <w:instrText xml:space="preserve"> </w:instrText>
            </w:r>
            <w:r>
              <w:rPr>
                <w:rFonts w:hint="eastAsia"/>
                <w:sz w:val="24"/>
              </w:rPr>
              <w:instrText xml:space="preserve">= 4 \* GB2</w:instrText>
            </w:r>
            <w:r>
              <w:rPr>
                <w:sz w:val="24"/>
              </w:rPr>
              <w:instrText xml:space="preserve"> </w:instrText>
            </w:r>
            <w:r>
              <w:rPr>
                <w:sz w:val="24"/>
              </w:rPr>
              <w:fldChar w:fldCharType="separate"/>
            </w:r>
            <w:r>
              <w:rPr>
                <w:rFonts w:hint="eastAsia"/>
                <w:sz w:val="24"/>
                <w:lang w:val="zh-CN" w:eastAsia="zh-CN"/>
              </w:rPr>
              <w:t>⑷</w:t>
            </w:r>
            <w:r>
              <w:rPr>
                <w:sz w:val="24"/>
              </w:rPr>
              <w:fldChar w:fldCharType="end"/>
            </w:r>
            <w:r>
              <w:rPr>
                <w:rFonts w:hint="eastAsia"/>
                <w:sz w:val="24"/>
              </w:rPr>
              <w:t>运营期拟对隔油池、沙滤池、沉淀池等进行防渗处理，对区域地下水影响较小。</w:t>
            </w:r>
          </w:p>
          <w:p>
            <w:pPr>
              <w:spacing w:line="360" w:lineRule="auto"/>
              <w:ind w:firstLine="480" w:firstLineChars="200"/>
            </w:pPr>
            <w:r>
              <w:rPr>
                <w:sz w:val="24"/>
              </w:rPr>
              <w:t>施工废水只要严格管理，不就地排放，对地下水的水质影响很小。对于施工垃圾和生活垃圾实行袋装化处理并及时运走，禁止随便堆放，可有效避免雨淋产生的渗透液对地下水产生的污染。</w:t>
            </w:r>
            <w:r>
              <w:rPr>
                <w:rFonts w:hint="eastAsia"/>
                <w:sz w:val="24"/>
              </w:rPr>
              <w:t>项目所在区域地下水以苦咸水为主，无利用价值，加之项目施工过程无废水外直排，</w:t>
            </w:r>
            <w:r>
              <w:rPr>
                <w:sz w:val="24"/>
              </w:rPr>
              <w:t>因此施工期建设项目对地下水的影响较小。</w:t>
            </w:r>
          </w:p>
          <w:p>
            <w:pPr>
              <w:spacing w:line="360" w:lineRule="auto"/>
              <w:ind w:firstLine="480" w:firstLineChars="200"/>
              <w:rPr>
                <w:rFonts w:hint="eastAsia"/>
                <w:sz w:val="24"/>
              </w:rPr>
            </w:pPr>
            <w:r>
              <w:rPr>
                <w:sz w:val="24"/>
              </w:rPr>
              <w:t>综上所述，施工期的废气、废水</w:t>
            </w:r>
            <w:r>
              <w:rPr>
                <w:rFonts w:hint="eastAsia"/>
                <w:sz w:val="24"/>
              </w:rPr>
              <w:t>、</w:t>
            </w:r>
            <w:r>
              <w:rPr>
                <w:sz w:val="24"/>
              </w:rPr>
              <w:t>噪声、固体废物</w:t>
            </w:r>
            <w:r>
              <w:rPr>
                <w:rFonts w:hint="eastAsia"/>
                <w:sz w:val="24"/>
              </w:rPr>
              <w:t>以及挖方等</w:t>
            </w:r>
            <w:r>
              <w:rPr>
                <w:sz w:val="24"/>
              </w:rPr>
              <w:t>将会对环境产生一定影响，但只要施工单位认真搞好施工组织，文明施工，切实落实上述各项污染防治措施，则在施工期对环境的影响将会减小到最低限量，而且随着施工的结束影响也将会消除。</w:t>
            </w:r>
          </w:p>
          <w:p>
            <w:pPr>
              <w:spacing w:line="360" w:lineRule="auto"/>
              <w:rPr>
                <w:rFonts w:ascii="宋体" w:hAnsi="宋体"/>
                <w:b/>
                <w:sz w:val="24"/>
              </w:rPr>
            </w:pPr>
            <w:r>
              <w:rPr>
                <w:rFonts w:ascii="宋体" w:hAnsi="宋体"/>
                <w:b/>
                <w:sz w:val="24"/>
              </w:rPr>
              <w:t>营运期环境影响分析：</w:t>
            </w:r>
          </w:p>
          <w:p>
            <w:pPr>
              <w:spacing w:line="360" w:lineRule="auto"/>
              <w:ind w:firstLine="480" w:firstLineChars="200"/>
              <w:rPr>
                <w:rFonts w:hint="eastAsia"/>
                <w:sz w:val="24"/>
              </w:rPr>
            </w:pPr>
            <w:r>
              <w:rPr>
                <w:rFonts w:hint="eastAsia"/>
                <w:sz w:val="24"/>
              </w:rPr>
              <w:t>运营期的污染物主要为职工食堂废气、汽车尾气及扬尘、生活废水、噪声及固体废物。</w:t>
            </w:r>
          </w:p>
          <w:p>
            <w:pPr>
              <w:numPr>
                <w:ilvl w:val="0"/>
                <w:numId w:val="5"/>
              </w:numPr>
              <w:spacing w:line="360" w:lineRule="auto"/>
              <w:ind w:firstLine="480" w:firstLineChars="200"/>
              <w:rPr>
                <w:rFonts w:hint="eastAsia"/>
                <w:sz w:val="24"/>
              </w:rPr>
            </w:pPr>
            <w:r>
              <w:rPr>
                <w:rFonts w:hint="eastAsia"/>
                <w:sz w:val="24"/>
              </w:rPr>
              <w:t>大气</w:t>
            </w:r>
          </w:p>
          <w:p>
            <w:pPr>
              <w:spacing w:line="360" w:lineRule="auto"/>
              <w:ind w:firstLine="480" w:firstLineChars="200"/>
              <w:rPr>
                <w:rFonts w:hint="eastAsia"/>
                <w:kern w:val="0"/>
                <w:sz w:val="24"/>
              </w:rPr>
            </w:pPr>
            <w:r>
              <w:rPr>
                <w:rFonts w:hint="eastAsia"/>
                <w:kern w:val="0"/>
                <w:sz w:val="24"/>
              </w:rPr>
              <w:t>本项目为仓库项目，无生产性废气，营运期主要废气为进出汽车产生的尾气。由于项目所设停车场为地面停车场，汽车尾气直接排入大气，空气流通顺畅，汽车尾气易于扩散，建设项目的地面停车场的汽车废气对周围环境不会造成太大的影响。因此为了防止汽车尾气对周围环境的影响，建设单位应加强停车场管理，尽量减少车辆的频繁启动和怠速，同时在地面停车场附近区域设置相应的绿化隔离带，基本上不会影响该区域大气环境质量。</w:t>
            </w:r>
          </w:p>
          <w:p>
            <w:pPr>
              <w:spacing w:line="360" w:lineRule="auto"/>
              <w:ind w:firstLine="480" w:firstLineChars="200"/>
              <w:rPr>
                <w:rFonts w:hint="eastAsia"/>
                <w:sz w:val="24"/>
              </w:rPr>
            </w:pPr>
            <w:r>
              <w:rPr>
                <w:sz w:val="24"/>
              </w:rPr>
              <w:t>2、废水</w:t>
            </w:r>
          </w:p>
          <w:p>
            <w:pPr>
              <w:spacing w:line="360" w:lineRule="auto"/>
              <w:ind w:firstLine="480" w:firstLineChars="200"/>
              <w:rPr>
                <w:rFonts w:hint="eastAsia"/>
                <w:sz w:val="24"/>
              </w:rPr>
            </w:pPr>
            <w:r>
              <w:rPr>
                <w:rFonts w:hint="eastAsia"/>
                <w:sz w:val="24"/>
              </w:rPr>
              <w:t xml:space="preserve">本项目共产生废水1080t/a，主要为员工生活污水，废水达到开发区污水处理厂接管要求接管进入开发区污水处理厂处理，开发区污水处理厂出水通过兴武沟排入长江。 </w:t>
            </w:r>
          </w:p>
          <w:p>
            <w:pPr>
              <w:spacing w:line="360" w:lineRule="auto"/>
              <w:ind w:firstLine="480" w:firstLineChars="200"/>
              <w:rPr>
                <w:rFonts w:hint="eastAsia"/>
                <w:sz w:val="24"/>
              </w:rPr>
            </w:pPr>
            <w:r>
              <w:rPr>
                <w:rFonts w:hint="eastAsia"/>
                <w:sz w:val="24"/>
              </w:rPr>
              <w:t>南京经济技术开发区污水处理厂位于南京经济技术开发区二期开发区西南角，排口位于兴武沟入江口约1800m，岸边排放。污水处理厂于2002年开始建设，设计规模为4万m</w:t>
            </w:r>
            <w:r>
              <w:rPr>
                <w:sz w:val="24"/>
              </w:rPr>
              <w:t>3</w:t>
            </w:r>
            <w:r>
              <w:rPr>
                <w:rFonts w:hint="eastAsia"/>
                <w:sz w:val="24"/>
              </w:rPr>
              <w:t>/d。本项目位于恒广路以南，仙新路以西，在开发区污水管网覆盖范围内。</w:t>
            </w:r>
          </w:p>
          <w:p>
            <w:pPr>
              <w:spacing w:line="360" w:lineRule="auto"/>
              <w:ind w:firstLine="480" w:firstLineChars="200"/>
              <w:rPr>
                <w:rFonts w:hint="eastAsia"/>
                <w:sz w:val="24"/>
              </w:rPr>
            </w:pPr>
            <w:r>
              <w:rPr>
                <w:rFonts w:hint="eastAsia"/>
                <w:sz w:val="24"/>
              </w:rPr>
              <w:t>开发区污水处理厂污水处理采用SBR工艺（即序批式活性污泥工艺），并对传统的SBR工艺作了一些改进。在SBR池中增加兼氧段和部分回流设施，使SBR工艺运行方式更加灵活，适应性更强。</w:t>
            </w:r>
          </w:p>
          <w:p>
            <w:pPr>
              <w:spacing w:line="360" w:lineRule="auto"/>
              <w:ind w:firstLine="480" w:firstLineChars="200"/>
              <w:rPr>
                <w:rFonts w:hint="eastAsia"/>
                <w:sz w:val="24"/>
              </w:rPr>
            </w:pPr>
            <w:r>
              <w:rPr>
                <w:rFonts w:hint="eastAsia"/>
                <w:sz w:val="24"/>
              </w:rPr>
              <w:t xml:space="preserve">SBR工艺每一操作循环由进水/曝气、进水/沉淀、滗水、闲置（视具体运行条件而定）四个阶段组成。循环开始时，由于充水，池子中的水位开始上升，经过一定时间的曝气和混合后，停止曝气，以使活性污泥进行絮凝并在一个静止的状态下沉淀。完成沉淀后由一个移动式滗水堰排出已处理的上清液，使水位下降，然后再重复上述过程。为保持池中合适的污泥浓度，在沉淀阶段结束后排出剩余污泥。由于该处理工艺抗冲击负荷较强，能很好地缓冲进水水量和水质的波动，从而使污水处理厂出水稳定达标。污泥浓缩脱水后的泥饼送至南京协鑫电厂焚烧处置。 </w:t>
            </w:r>
          </w:p>
          <w:p>
            <w:pPr>
              <w:pStyle w:val="6"/>
              <w:widowControl/>
              <w:spacing w:line="360" w:lineRule="auto"/>
              <w:ind w:firstLine="540" w:firstLineChars="225"/>
              <w:rPr>
                <w:rFonts w:hint="eastAsia"/>
                <w:sz w:val="24"/>
              </w:rPr>
            </w:pPr>
            <w:r>
              <w:rPr>
                <w:rFonts w:hint="eastAsia"/>
                <w:sz w:val="24"/>
              </w:rPr>
              <w:t>本项目废水符合开发区污水处理厂设计进水指标。南京经济技术开发区污水处理厂工程设计处理能力4万m</w:t>
            </w:r>
            <w:r>
              <w:rPr>
                <w:sz w:val="24"/>
              </w:rPr>
              <w:t>3</w:t>
            </w:r>
            <w:r>
              <w:rPr>
                <w:rFonts w:hint="eastAsia"/>
                <w:sz w:val="24"/>
              </w:rPr>
              <w:t>/d，目前开发区工业废水量一般在2.3万m</w:t>
            </w:r>
            <w:r>
              <w:rPr>
                <w:sz w:val="24"/>
              </w:rPr>
              <w:t>3</w:t>
            </w:r>
            <w:r>
              <w:rPr>
                <w:rFonts w:hint="eastAsia"/>
                <w:sz w:val="24"/>
              </w:rPr>
              <w:t>/d左右，工业废水余量尚有1.7万m</w:t>
            </w:r>
            <w:r>
              <w:rPr>
                <w:sz w:val="24"/>
              </w:rPr>
              <w:t>3</w:t>
            </w:r>
            <w:r>
              <w:rPr>
                <w:rFonts w:hint="eastAsia"/>
                <w:sz w:val="24"/>
              </w:rPr>
              <w:t xml:space="preserve">/d。本项目新增废水量1080t/a，开发区污水处理厂尚有余量接纳本项目废水，能满足处理要求。 </w:t>
            </w:r>
          </w:p>
          <w:p>
            <w:pPr>
              <w:pStyle w:val="6"/>
              <w:widowControl/>
              <w:spacing w:line="360" w:lineRule="auto"/>
              <w:ind w:firstLine="540" w:firstLineChars="225"/>
              <w:rPr>
                <w:rFonts w:hint="eastAsia"/>
                <w:sz w:val="24"/>
              </w:rPr>
            </w:pPr>
            <w:r>
              <w:rPr>
                <w:rFonts w:hint="eastAsia"/>
                <w:sz w:val="24"/>
              </w:rPr>
              <w:t>从开发区污水处理厂排放水量、污染物的情况来看，污水基本可以达到《污水综合排放标准》（GB8978-1996）表4一级标准。本项目废水经开发区污水处理厂处理达标后</w:t>
            </w:r>
            <w:r>
              <w:rPr>
                <w:rFonts w:hint="eastAsia"/>
                <w:sz w:val="24"/>
                <w:lang w:val="en-US" w:eastAsia="zh-CN"/>
              </w:rPr>
              <w:t>通过兴武沟</w:t>
            </w:r>
            <w:r>
              <w:rPr>
                <w:rFonts w:hint="eastAsia"/>
                <w:sz w:val="24"/>
              </w:rPr>
              <w:t xml:space="preserve">排放至长江。 </w:t>
            </w:r>
          </w:p>
          <w:p>
            <w:pPr>
              <w:pStyle w:val="6"/>
              <w:widowControl/>
              <w:spacing w:line="360" w:lineRule="auto"/>
              <w:ind w:firstLine="540" w:firstLineChars="225"/>
              <w:rPr>
                <w:rFonts w:hint="eastAsia"/>
                <w:sz w:val="24"/>
              </w:rPr>
            </w:pPr>
            <w:r>
              <w:rPr>
                <w:rFonts w:hint="eastAsia"/>
                <w:sz w:val="24"/>
              </w:rPr>
              <w:t>项目所排废水水质简单，不会影响污水处理厂的正常运行；因此项目建成后废水对开发区污水处理厂的正常运营影响较小，废水集中处理后对周围水环境影响较小。因此改扩建项目废水无论是从水量还是从水质分析，接入开发区污水处理厂都是可行的。</w:t>
            </w:r>
          </w:p>
          <w:p>
            <w:pPr>
              <w:spacing w:line="440" w:lineRule="exact"/>
              <w:ind w:firstLine="480" w:firstLineChars="200"/>
              <w:rPr>
                <w:sz w:val="24"/>
              </w:rPr>
            </w:pPr>
            <w:r>
              <w:rPr>
                <w:sz w:val="24"/>
              </w:rPr>
              <w:t>3、噪声</w:t>
            </w:r>
          </w:p>
          <w:p>
            <w:pPr>
              <w:spacing w:line="440" w:lineRule="exact"/>
              <w:ind w:firstLine="480" w:firstLineChars="200"/>
              <w:rPr>
                <w:rFonts w:hint="eastAsia"/>
                <w:sz w:val="24"/>
              </w:rPr>
            </w:pPr>
            <w:r>
              <w:rPr>
                <w:rFonts w:hint="eastAsia"/>
                <w:sz w:val="24"/>
              </w:rPr>
              <w:t>本项目主要高噪声设备有运输车辆、水泵、变压器、空调等，通过厂区内车辆限制鸣笛，并限制噪声超标车辆驶入，水泵、变压器、空调等选用低噪声的设备、加装减震垫、排风口消音措施；充分利用距离衰减；在厂区设置绿化带，降低高噪声设备对厂界环境的影响，通过采取上述治理措施后，可确保厂界达到噪声排放达到《工业企业厂界环境噪声排放标准》（GB12348-2008）中3类标准要求。</w:t>
            </w:r>
          </w:p>
          <w:p>
            <w:pPr>
              <w:spacing w:line="440" w:lineRule="exact"/>
              <w:ind w:firstLine="480" w:firstLineChars="200"/>
              <w:rPr>
                <w:sz w:val="24"/>
              </w:rPr>
            </w:pPr>
            <w:r>
              <w:rPr>
                <w:sz w:val="24"/>
              </w:rPr>
              <w:t>4、固废</w:t>
            </w:r>
          </w:p>
          <w:p>
            <w:pPr>
              <w:spacing w:line="440" w:lineRule="exact"/>
              <w:ind w:firstLine="480" w:firstLineChars="200"/>
              <w:rPr>
                <w:sz w:val="24"/>
              </w:rPr>
            </w:pPr>
            <w:r>
              <w:rPr>
                <w:sz w:val="24"/>
              </w:rPr>
              <w:t>本项目产生的固体废物主要有</w:t>
            </w:r>
            <w:r>
              <w:rPr>
                <w:rFonts w:hint="eastAsia"/>
                <w:sz w:val="24"/>
              </w:rPr>
              <w:t>生活垃圾。生活垃圾交由环卫部门统一处理，</w:t>
            </w:r>
            <w:r>
              <w:rPr>
                <w:sz w:val="24"/>
              </w:rPr>
              <w:t>没有固体废物外排。不会对环境产生影响。</w:t>
            </w:r>
          </w:p>
          <w:p>
            <w:pPr>
              <w:spacing w:line="440" w:lineRule="exact"/>
              <w:ind w:firstLine="480" w:firstLineChars="200"/>
              <w:rPr>
                <w:sz w:val="24"/>
              </w:rPr>
            </w:pPr>
            <w:r>
              <w:rPr>
                <w:sz w:val="24"/>
              </w:rPr>
              <w:t>综上所述，由于本项目对产生的废气、废水和噪声都进行了污染防治并做到达标排放，固体废物通过妥善处理，故项目运营期对周围环境影响较小。</w:t>
            </w: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rFonts w:hint="eastAsia"/>
                <w:sz w:val="24"/>
              </w:rPr>
            </w:pPr>
          </w:p>
        </w:tc>
      </w:tr>
    </w:tbl>
    <w:p>
      <w:pPr>
        <w:outlineLvl w:val="0"/>
        <w:rPr>
          <w:b/>
        </w:rPr>
      </w:pPr>
      <w:r>
        <w:rPr>
          <w:b/>
        </w:rPr>
        <w:br w:type="page"/>
      </w:r>
      <w:r>
        <w:rPr>
          <w:b/>
        </w:rPr>
        <w:t>八、建设项目拟采取的预防措施及治理效果</w:t>
      </w:r>
    </w:p>
    <w:tbl>
      <w:tblPr>
        <w:tblStyle w:val="3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562"/>
        <w:gridCol w:w="1564"/>
        <w:gridCol w:w="3115"/>
        <w:gridCol w:w="570"/>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类别</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排放源</w:t>
            </w:r>
          </w:p>
        </w:tc>
        <w:tc>
          <w:tcPr>
            <w:tcW w:w="1564"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污染物名称</w:t>
            </w:r>
          </w:p>
        </w:tc>
        <w:tc>
          <w:tcPr>
            <w:tcW w:w="3685" w:type="dxa"/>
            <w:gridSpan w:val="2"/>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防治措施</w:t>
            </w:r>
          </w:p>
        </w:tc>
        <w:tc>
          <w:tcPr>
            <w:tcW w:w="1519"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tcBorders>
              <w:top w:val="single" w:color="auto" w:sz="4" w:space="0"/>
              <w:left w:val="single" w:color="auto" w:sz="4" w:space="0"/>
              <w:right w:val="single" w:color="auto" w:sz="4" w:space="0"/>
            </w:tcBorders>
            <w:vAlign w:val="center"/>
          </w:tcPr>
          <w:p>
            <w:pPr>
              <w:jc w:val="center"/>
              <w:rPr>
                <w:sz w:val="21"/>
                <w:szCs w:val="21"/>
              </w:rPr>
            </w:pPr>
            <w:r>
              <w:rPr>
                <w:rFonts w:hint="eastAsia"/>
                <w:sz w:val="21"/>
                <w:szCs w:val="21"/>
              </w:rPr>
              <w:t>大气污染物</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szCs w:val="21"/>
              </w:rPr>
            </w:pPr>
            <w:r>
              <w:rPr>
                <w:rFonts w:hint="eastAsia"/>
                <w:sz w:val="21"/>
                <w:szCs w:val="21"/>
              </w:rPr>
              <w:t>汽车尾气</w:t>
            </w:r>
          </w:p>
        </w:tc>
        <w:tc>
          <w:tcPr>
            <w:tcW w:w="156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SO</w:t>
            </w:r>
            <w:r>
              <w:rPr>
                <w:sz w:val="21"/>
                <w:szCs w:val="21"/>
                <w:vertAlign w:val="subscript"/>
              </w:rPr>
              <w:t>2</w:t>
            </w:r>
          </w:p>
          <w:p>
            <w:pPr>
              <w:jc w:val="center"/>
              <w:rPr>
                <w:sz w:val="21"/>
                <w:szCs w:val="21"/>
              </w:rPr>
            </w:pPr>
            <w:r>
              <w:rPr>
                <w:sz w:val="21"/>
                <w:szCs w:val="21"/>
              </w:rPr>
              <w:t>NO</w:t>
            </w:r>
            <w:r>
              <w:rPr>
                <w:sz w:val="21"/>
                <w:szCs w:val="21"/>
                <w:vertAlign w:val="subscript"/>
              </w:rPr>
              <w:t>X</w:t>
            </w:r>
          </w:p>
          <w:p>
            <w:pPr>
              <w:jc w:val="center"/>
              <w:rPr>
                <w:sz w:val="21"/>
                <w:szCs w:val="21"/>
              </w:rPr>
            </w:pPr>
            <w:r>
              <w:rPr>
                <w:sz w:val="21"/>
                <w:szCs w:val="21"/>
              </w:rPr>
              <w:t>CO</w:t>
            </w:r>
          </w:p>
        </w:tc>
        <w:tc>
          <w:tcPr>
            <w:tcW w:w="3685" w:type="dxa"/>
            <w:gridSpan w:val="2"/>
            <w:tcBorders>
              <w:top w:val="single" w:color="auto" w:sz="4" w:space="0"/>
              <w:left w:val="single" w:color="auto" w:sz="4" w:space="0"/>
              <w:bottom w:val="single" w:color="auto" w:sz="4" w:space="0"/>
              <w:right w:val="single" w:color="auto" w:sz="4" w:space="0"/>
            </w:tcBorders>
            <w:vAlign w:val="center"/>
          </w:tcPr>
          <w:p>
            <w:pPr>
              <w:pStyle w:val="6"/>
              <w:jc w:val="center"/>
              <w:rPr>
                <w:rFonts w:hint="eastAsia"/>
                <w:sz w:val="21"/>
                <w:szCs w:val="21"/>
              </w:rPr>
            </w:pPr>
            <w:r>
              <w:rPr>
                <w:rFonts w:hint="eastAsia"/>
                <w:sz w:val="21"/>
                <w:szCs w:val="21"/>
              </w:rPr>
              <w:t>无组织排放</w:t>
            </w:r>
          </w:p>
        </w:tc>
        <w:tc>
          <w:tcPr>
            <w:tcW w:w="1519"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确保达标排放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vMerge w:val="restart"/>
            <w:tcBorders>
              <w:top w:val="single" w:color="auto" w:sz="4" w:space="0"/>
              <w:left w:val="single" w:color="auto" w:sz="4" w:space="0"/>
              <w:right w:val="single" w:color="auto" w:sz="4" w:space="0"/>
            </w:tcBorders>
            <w:vAlign w:val="center"/>
          </w:tcPr>
          <w:p>
            <w:pPr>
              <w:jc w:val="center"/>
              <w:rPr>
                <w:sz w:val="21"/>
                <w:szCs w:val="21"/>
              </w:rPr>
            </w:pPr>
            <w:r>
              <w:rPr>
                <w:rFonts w:hint="eastAsia"/>
                <w:sz w:val="21"/>
                <w:szCs w:val="21"/>
              </w:rPr>
              <w:t>水污染物</w:t>
            </w:r>
          </w:p>
        </w:tc>
        <w:tc>
          <w:tcPr>
            <w:tcW w:w="1562" w:type="dxa"/>
            <w:vMerge w:val="restart"/>
            <w:tcBorders>
              <w:top w:val="single" w:color="auto" w:sz="4" w:space="0"/>
              <w:left w:val="single" w:color="auto" w:sz="4" w:space="0"/>
              <w:right w:val="single" w:color="auto" w:sz="4" w:space="0"/>
            </w:tcBorders>
            <w:vAlign w:val="center"/>
          </w:tcPr>
          <w:p>
            <w:pPr>
              <w:jc w:val="center"/>
              <w:rPr>
                <w:rFonts w:hint="eastAsia"/>
                <w:sz w:val="21"/>
                <w:szCs w:val="21"/>
              </w:rPr>
            </w:pPr>
          </w:p>
          <w:p>
            <w:pPr>
              <w:jc w:val="center"/>
              <w:rPr>
                <w:sz w:val="21"/>
                <w:szCs w:val="21"/>
              </w:rPr>
            </w:pPr>
            <w:r>
              <w:rPr>
                <w:rFonts w:hint="eastAsia"/>
                <w:sz w:val="21"/>
                <w:szCs w:val="21"/>
              </w:rPr>
              <w:t>生活污水</w:t>
            </w:r>
          </w:p>
        </w:tc>
        <w:tc>
          <w:tcPr>
            <w:tcW w:w="156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COD</w:t>
            </w:r>
          </w:p>
        </w:tc>
        <w:tc>
          <w:tcPr>
            <w:tcW w:w="3685" w:type="dxa"/>
            <w:gridSpan w:val="2"/>
            <w:vMerge w:val="restart"/>
            <w:tcBorders>
              <w:top w:val="single" w:color="auto" w:sz="4" w:space="0"/>
              <w:left w:val="single" w:color="auto" w:sz="4" w:space="0"/>
              <w:right w:val="single" w:color="auto" w:sz="4" w:space="0"/>
            </w:tcBorders>
            <w:vAlign w:val="center"/>
          </w:tcPr>
          <w:p>
            <w:pPr>
              <w:jc w:val="center"/>
              <w:rPr>
                <w:sz w:val="21"/>
                <w:szCs w:val="21"/>
              </w:rPr>
            </w:pPr>
            <w:r>
              <w:rPr>
                <w:rFonts w:hint="eastAsia"/>
                <w:sz w:val="21"/>
                <w:szCs w:val="21"/>
              </w:rPr>
              <w:t>职工生活废水进化粪池（1个）处理</w:t>
            </w:r>
          </w:p>
        </w:tc>
        <w:tc>
          <w:tcPr>
            <w:tcW w:w="1519" w:type="dxa"/>
            <w:vMerge w:val="restart"/>
            <w:tcBorders>
              <w:top w:val="single" w:color="auto" w:sz="4" w:space="0"/>
              <w:left w:val="single" w:color="auto" w:sz="4" w:space="0"/>
              <w:right w:val="single" w:color="auto" w:sz="4" w:space="0"/>
            </w:tcBorders>
            <w:vAlign w:val="center"/>
          </w:tcPr>
          <w:p>
            <w:pPr>
              <w:jc w:val="center"/>
              <w:rPr>
                <w:sz w:val="21"/>
                <w:szCs w:val="21"/>
              </w:rPr>
            </w:pPr>
            <w:r>
              <w:rPr>
                <w:rFonts w:hint="eastAsia"/>
                <w:sz w:val="21"/>
                <w:szCs w:val="21"/>
              </w:rPr>
              <w:t>确保废水达到开发区污水处理厂接管标准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vMerge w:val="continue"/>
            <w:tcBorders>
              <w:left w:val="single" w:color="auto" w:sz="4" w:space="0"/>
              <w:right w:val="single" w:color="auto" w:sz="4" w:space="0"/>
            </w:tcBorders>
            <w:vAlign w:val="center"/>
          </w:tcPr>
          <w:p>
            <w:pPr>
              <w:widowControl/>
              <w:jc w:val="center"/>
              <w:rPr>
                <w:sz w:val="21"/>
                <w:szCs w:val="21"/>
              </w:rPr>
            </w:pPr>
          </w:p>
        </w:tc>
        <w:tc>
          <w:tcPr>
            <w:tcW w:w="1562" w:type="dxa"/>
            <w:vMerge w:val="continue"/>
            <w:tcBorders>
              <w:left w:val="single" w:color="auto" w:sz="4" w:space="0"/>
              <w:right w:val="single" w:color="auto" w:sz="4" w:space="0"/>
            </w:tcBorders>
            <w:vAlign w:val="center"/>
          </w:tcPr>
          <w:p>
            <w:pPr>
              <w:widowControl/>
              <w:jc w:val="center"/>
              <w:rPr>
                <w:sz w:val="21"/>
                <w:szCs w:val="21"/>
              </w:rPr>
            </w:pPr>
          </w:p>
        </w:tc>
        <w:tc>
          <w:tcPr>
            <w:tcW w:w="156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SS</w:t>
            </w:r>
          </w:p>
        </w:tc>
        <w:tc>
          <w:tcPr>
            <w:tcW w:w="3685" w:type="dxa"/>
            <w:gridSpan w:val="2"/>
            <w:vMerge w:val="continue"/>
            <w:tcBorders>
              <w:left w:val="single" w:color="auto" w:sz="4" w:space="0"/>
              <w:right w:val="single" w:color="auto" w:sz="4" w:space="0"/>
            </w:tcBorders>
            <w:vAlign w:val="center"/>
          </w:tcPr>
          <w:p>
            <w:pPr>
              <w:widowControl/>
              <w:jc w:val="center"/>
              <w:rPr>
                <w:sz w:val="21"/>
                <w:szCs w:val="21"/>
              </w:rPr>
            </w:pPr>
          </w:p>
        </w:tc>
        <w:tc>
          <w:tcPr>
            <w:tcW w:w="1519" w:type="dxa"/>
            <w:vMerge w:val="continue"/>
            <w:tcBorders>
              <w:left w:val="single" w:color="auto" w:sz="4" w:space="0"/>
              <w:right w:val="single" w:color="auto" w:sz="4" w:space="0"/>
            </w:tcBorders>
            <w:vAlign w:val="center"/>
          </w:tcPr>
          <w:p>
            <w:pPr>
              <w:widowControl/>
              <w:jc w:val="center"/>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vMerge w:val="continue"/>
            <w:tcBorders>
              <w:left w:val="single" w:color="auto" w:sz="4" w:space="0"/>
              <w:right w:val="single" w:color="auto" w:sz="4" w:space="0"/>
            </w:tcBorders>
            <w:vAlign w:val="center"/>
          </w:tcPr>
          <w:p>
            <w:pPr>
              <w:widowControl/>
              <w:jc w:val="center"/>
              <w:rPr>
                <w:sz w:val="21"/>
                <w:szCs w:val="21"/>
              </w:rPr>
            </w:pPr>
          </w:p>
        </w:tc>
        <w:tc>
          <w:tcPr>
            <w:tcW w:w="1562" w:type="dxa"/>
            <w:vMerge w:val="continue"/>
            <w:tcBorders>
              <w:left w:val="single" w:color="auto" w:sz="4" w:space="0"/>
              <w:right w:val="single" w:color="auto" w:sz="4" w:space="0"/>
            </w:tcBorders>
            <w:vAlign w:val="center"/>
          </w:tcPr>
          <w:p>
            <w:pPr>
              <w:widowControl/>
              <w:jc w:val="center"/>
              <w:rPr>
                <w:sz w:val="21"/>
                <w:szCs w:val="21"/>
              </w:rPr>
            </w:pPr>
          </w:p>
        </w:tc>
        <w:tc>
          <w:tcPr>
            <w:tcW w:w="156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氨氮</w:t>
            </w:r>
          </w:p>
        </w:tc>
        <w:tc>
          <w:tcPr>
            <w:tcW w:w="3685" w:type="dxa"/>
            <w:gridSpan w:val="2"/>
            <w:vMerge w:val="continue"/>
            <w:tcBorders>
              <w:left w:val="single" w:color="auto" w:sz="4" w:space="0"/>
              <w:right w:val="single" w:color="auto" w:sz="4" w:space="0"/>
            </w:tcBorders>
            <w:vAlign w:val="center"/>
          </w:tcPr>
          <w:p>
            <w:pPr>
              <w:widowControl/>
              <w:jc w:val="center"/>
              <w:rPr>
                <w:sz w:val="21"/>
                <w:szCs w:val="21"/>
              </w:rPr>
            </w:pPr>
          </w:p>
        </w:tc>
        <w:tc>
          <w:tcPr>
            <w:tcW w:w="1519" w:type="dxa"/>
            <w:vMerge w:val="continue"/>
            <w:tcBorders>
              <w:left w:val="single" w:color="auto" w:sz="4" w:space="0"/>
              <w:right w:val="single" w:color="auto" w:sz="4" w:space="0"/>
            </w:tcBorders>
            <w:vAlign w:val="center"/>
          </w:tcPr>
          <w:p>
            <w:pPr>
              <w:widowControl/>
              <w:jc w:val="center"/>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vMerge w:val="continue"/>
            <w:tcBorders>
              <w:left w:val="single" w:color="auto" w:sz="4" w:space="0"/>
              <w:right w:val="single" w:color="auto" w:sz="4" w:space="0"/>
            </w:tcBorders>
            <w:vAlign w:val="center"/>
          </w:tcPr>
          <w:p>
            <w:pPr>
              <w:widowControl/>
              <w:jc w:val="center"/>
              <w:rPr>
                <w:sz w:val="21"/>
                <w:szCs w:val="21"/>
              </w:rPr>
            </w:pPr>
          </w:p>
        </w:tc>
        <w:tc>
          <w:tcPr>
            <w:tcW w:w="1562" w:type="dxa"/>
            <w:vMerge w:val="continue"/>
            <w:tcBorders>
              <w:left w:val="single" w:color="auto" w:sz="4" w:space="0"/>
              <w:right w:val="single" w:color="auto" w:sz="4" w:space="0"/>
            </w:tcBorders>
            <w:vAlign w:val="center"/>
          </w:tcPr>
          <w:p>
            <w:pPr>
              <w:widowControl/>
              <w:jc w:val="center"/>
              <w:rPr>
                <w:sz w:val="21"/>
                <w:szCs w:val="21"/>
              </w:rPr>
            </w:pPr>
          </w:p>
        </w:tc>
        <w:tc>
          <w:tcPr>
            <w:tcW w:w="156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TP</w:t>
            </w:r>
          </w:p>
        </w:tc>
        <w:tc>
          <w:tcPr>
            <w:tcW w:w="3685" w:type="dxa"/>
            <w:gridSpan w:val="2"/>
            <w:vMerge w:val="continue"/>
            <w:tcBorders>
              <w:left w:val="single" w:color="auto" w:sz="4" w:space="0"/>
              <w:right w:val="single" w:color="auto" w:sz="4" w:space="0"/>
            </w:tcBorders>
            <w:vAlign w:val="center"/>
          </w:tcPr>
          <w:p>
            <w:pPr>
              <w:widowControl/>
              <w:jc w:val="center"/>
              <w:rPr>
                <w:sz w:val="21"/>
                <w:szCs w:val="21"/>
              </w:rPr>
            </w:pPr>
          </w:p>
        </w:tc>
        <w:tc>
          <w:tcPr>
            <w:tcW w:w="1519" w:type="dxa"/>
            <w:vMerge w:val="continue"/>
            <w:tcBorders>
              <w:left w:val="single" w:color="auto" w:sz="4" w:space="0"/>
              <w:right w:val="single" w:color="auto" w:sz="4" w:space="0"/>
            </w:tcBorders>
            <w:vAlign w:val="center"/>
          </w:tcPr>
          <w:p>
            <w:pPr>
              <w:widowControl/>
              <w:jc w:val="center"/>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电离辐射和电磁辐射</w:t>
            </w:r>
          </w:p>
        </w:tc>
        <w:tc>
          <w:tcPr>
            <w:tcW w:w="8330" w:type="dxa"/>
            <w:gridSpan w:val="5"/>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固</w:t>
            </w:r>
          </w:p>
          <w:p>
            <w:pPr>
              <w:jc w:val="center"/>
              <w:rPr>
                <w:sz w:val="21"/>
                <w:szCs w:val="21"/>
              </w:rPr>
            </w:pPr>
            <w:r>
              <w:rPr>
                <w:rFonts w:hint="eastAsia"/>
                <w:sz w:val="21"/>
                <w:szCs w:val="21"/>
              </w:rPr>
              <w:t>体</w:t>
            </w:r>
          </w:p>
          <w:p>
            <w:pPr>
              <w:jc w:val="center"/>
              <w:rPr>
                <w:sz w:val="21"/>
                <w:szCs w:val="21"/>
              </w:rPr>
            </w:pPr>
            <w:r>
              <w:rPr>
                <w:rFonts w:hint="eastAsia"/>
                <w:sz w:val="21"/>
                <w:szCs w:val="21"/>
              </w:rPr>
              <w:t>废</w:t>
            </w:r>
          </w:p>
          <w:p>
            <w:pPr>
              <w:jc w:val="center"/>
              <w:rPr>
                <w:sz w:val="21"/>
                <w:szCs w:val="21"/>
              </w:rPr>
            </w:pPr>
            <w:r>
              <w:rPr>
                <w:rFonts w:hint="eastAsia"/>
                <w:sz w:val="21"/>
                <w:szCs w:val="21"/>
              </w:rPr>
              <w:t>物</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营运期</w:t>
            </w:r>
          </w:p>
        </w:tc>
        <w:tc>
          <w:tcPr>
            <w:tcW w:w="1564" w:type="dxa"/>
            <w:tcBorders>
              <w:top w:val="single" w:color="auto" w:sz="4" w:space="0"/>
              <w:left w:val="single" w:color="auto" w:sz="4" w:space="0"/>
              <w:right w:val="single" w:color="auto" w:sz="4" w:space="0"/>
            </w:tcBorders>
            <w:vAlign w:val="center"/>
          </w:tcPr>
          <w:p>
            <w:pPr>
              <w:jc w:val="center"/>
              <w:rPr>
                <w:rFonts w:hint="eastAsia"/>
                <w:sz w:val="21"/>
                <w:szCs w:val="21"/>
              </w:rPr>
            </w:pPr>
            <w:r>
              <w:rPr>
                <w:rFonts w:hint="eastAsia"/>
                <w:sz w:val="21"/>
                <w:szCs w:val="21"/>
              </w:rPr>
              <w:t>生活垃圾</w:t>
            </w:r>
          </w:p>
        </w:tc>
        <w:tc>
          <w:tcPr>
            <w:tcW w:w="311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szCs w:val="21"/>
              </w:rPr>
            </w:pPr>
            <w:r>
              <w:rPr>
                <w:rFonts w:hint="eastAsia"/>
                <w:sz w:val="21"/>
                <w:szCs w:val="21"/>
              </w:rPr>
              <w:t>环卫部门收集处理处置</w:t>
            </w:r>
          </w:p>
        </w:tc>
        <w:tc>
          <w:tcPr>
            <w:tcW w:w="2089" w:type="dxa"/>
            <w:gridSpan w:val="2"/>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固体废物零排放、不产生二次污染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噪</w:t>
            </w:r>
          </w:p>
          <w:p>
            <w:pPr>
              <w:jc w:val="center"/>
              <w:rPr>
                <w:sz w:val="21"/>
                <w:szCs w:val="21"/>
              </w:rPr>
            </w:pPr>
            <w:r>
              <w:rPr>
                <w:rFonts w:hint="eastAsia"/>
                <w:sz w:val="21"/>
                <w:szCs w:val="21"/>
              </w:rPr>
              <w:t>声</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各类水泵、风机、空调外机等机械噪声</w:t>
            </w:r>
          </w:p>
        </w:tc>
        <w:tc>
          <w:tcPr>
            <w:tcW w:w="156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噪声</w:t>
            </w:r>
          </w:p>
        </w:tc>
        <w:tc>
          <w:tcPr>
            <w:tcW w:w="311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szCs w:val="21"/>
              </w:rPr>
            </w:pPr>
            <w:r>
              <w:rPr>
                <w:rFonts w:hint="eastAsia"/>
                <w:sz w:val="21"/>
                <w:szCs w:val="21"/>
              </w:rPr>
              <w:t>通过厂区内车辆限制鸣笛，并限制噪声超标车辆驶入，水泵、变压器、空调等选用低噪声的设备、加装减震垫、排风口消音措施；充分利用距离衰减；在厂区设置绿化带，降低高噪声设备对厂界环境的影响</w:t>
            </w:r>
          </w:p>
        </w:tc>
        <w:tc>
          <w:tcPr>
            <w:tcW w:w="2089" w:type="dxa"/>
            <w:gridSpan w:val="2"/>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场界达到《工业企业厂界环境噪声排放标准》（</w:t>
            </w:r>
            <w:r>
              <w:rPr>
                <w:sz w:val="21"/>
                <w:szCs w:val="21"/>
              </w:rPr>
              <w:t>GB12348</w:t>
            </w:r>
            <w:r>
              <w:rPr>
                <w:rFonts w:hint="eastAsia"/>
                <w:sz w:val="21"/>
                <w:szCs w:val="21"/>
              </w:rPr>
              <w:t>－</w:t>
            </w:r>
            <w:r>
              <w:rPr>
                <w:sz w:val="21"/>
                <w:szCs w:val="21"/>
              </w:rPr>
              <w:t>2008</w:t>
            </w:r>
            <w:r>
              <w:rPr>
                <w:rFonts w:hint="eastAsia"/>
                <w:sz w:val="21"/>
                <w:szCs w:val="21"/>
              </w:rPr>
              <w:t>）</w:t>
            </w:r>
            <w:r>
              <w:rPr>
                <w:sz w:val="21"/>
                <w:szCs w:val="21"/>
              </w:rPr>
              <w:t>3</w:t>
            </w:r>
            <w:r>
              <w:rPr>
                <w:rFonts w:hint="eastAsia"/>
                <w:sz w:val="21"/>
                <w:szCs w:val="21"/>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其他</w:t>
            </w:r>
          </w:p>
        </w:tc>
        <w:tc>
          <w:tcPr>
            <w:tcW w:w="8330" w:type="dxa"/>
            <w:gridSpan w:val="5"/>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排污口规范化设计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trPr>
        <w:tc>
          <w:tcPr>
            <w:tcW w:w="957"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生态</w:t>
            </w:r>
          </w:p>
        </w:tc>
        <w:tc>
          <w:tcPr>
            <w:tcW w:w="8330"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rPr>
                <w:b/>
                <w:sz w:val="21"/>
                <w:szCs w:val="21"/>
              </w:rPr>
            </w:pPr>
            <w:r>
              <w:rPr>
                <w:rFonts w:hint="eastAsia"/>
                <w:b/>
                <w:sz w:val="21"/>
                <w:szCs w:val="21"/>
              </w:rPr>
              <w:t>生态保护措施及预期效果：</w:t>
            </w:r>
          </w:p>
          <w:p>
            <w:pPr>
              <w:spacing w:line="360" w:lineRule="auto"/>
              <w:jc w:val="center"/>
              <w:rPr>
                <w:sz w:val="21"/>
                <w:szCs w:val="21"/>
              </w:rPr>
            </w:pPr>
            <w:r>
              <w:rPr>
                <w:rFonts w:hint="eastAsia"/>
                <w:sz w:val="21"/>
                <w:szCs w:val="21"/>
              </w:rPr>
              <w:t>项目用地现状为净地，建成后绿化面积约为1796</w:t>
            </w:r>
            <w:r>
              <w:rPr>
                <w:sz w:val="21"/>
                <w:szCs w:val="21"/>
              </w:rPr>
              <w:t>m</w:t>
            </w:r>
            <w:r>
              <w:rPr>
                <w:sz w:val="21"/>
                <w:szCs w:val="21"/>
                <w:vertAlign w:val="superscript"/>
              </w:rPr>
              <w:t>2</w:t>
            </w:r>
            <w:r>
              <w:rPr>
                <w:rFonts w:hint="eastAsia"/>
                <w:sz w:val="21"/>
                <w:szCs w:val="21"/>
              </w:rPr>
              <w:t>，能够在一定程度上改善区域生态环境质量，美化环境。</w:t>
            </w:r>
          </w:p>
        </w:tc>
      </w:tr>
    </w:tbl>
    <w:p>
      <w:pPr>
        <w:rPr>
          <w:rFonts w:hint="eastAsia"/>
          <w:sz w:val="24"/>
          <w:szCs w:val="24"/>
        </w:rPr>
      </w:pPr>
    </w:p>
    <w:p>
      <w:pPr>
        <w:rPr>
          <w:sz w:val="24"/>
          <w:szCs w:val="24"/>
        </w:rPr>
        <w:sectPr>
          <w:footerReference r:id="rId12" w:type="first"/>
          <w:footerReference r:id="rId11" w:type="default"/>
          <w:pgSz w:w="11907" w:h="16840"/>
          <w:pgMar w:top="1418" w:right="1418" w:bottom="1418" w:left="1418" w:header="964" w:footer="720" w:gutter="0"/>
          <w:pgNumType w:fmt="decimal"/>
          <w:cols w:space="720" w:num="1"/>
          <w:titlePg/>
          <w:docGrid w:type="linesAndChars" w:linePitch="285" w:charSpace="0"/>
        </w:sectPr>
      </w:pPr>
    </w:p>
    <w:p>
      <w:pPr>
        <w:spacing w:line="440" w:lineRule="exact"/>
        <w:jc w:val="center"/>
        <w:rPr>
          <w:bCs/>
          <w:kern w:val="0"/>
          <w:sz w:val="24"/>
        </w:rPr>
      </w:pPr>
      <w:r>
        <w:rPr>
          <w:rFonts w:hint="eastAsia" w:hAnsi="宋体"/>
          <w:sz w:val="24"/>
        </w:rPr>
        <w:t>表</w:t>
      </w:r>
      <w:r>
        <w:rPr>
          <w:rFonts w:hint="eastAsia"/>
          <w:sz w:val="24"/>
        </w:rPr>
        <w:t>34</w:t>
      </w:r>
      <w:r>
        <w:rPr>
          <w:rFonts w:hint="eastAsia" w:hAnsi="宋体"/>
          <w:bCs/>
          <w:kern w:val="0"/>
          <w:sz w:val="24"/>
        </w:rPr>
        <w:t>项目</w:t>
      </w:r>
      <w:r>
        <w:rPr>
          <w:bCs/>
          <w:kern w:val="0"/>
          <w:sz w:val="24"/>
        </w:rPr>
        <w:t>“</w:t>
      </w:r>
      <w:r>
        <w:rPr>
          <w:rFonts w:hint="eastAsia" w:hAnsi="宋体"/>
          <w:bCs/>
          <w:kern w:val="0"/>
          <w:sz w:val="24"/>
        </w:rPr>
        <w:t>三同时</w:t>
      </w:r>
      <w:r>
        <w:rPr>
          <w:bCs/>
          <w:kern w:val="0"/>
          <w:sz w:val="24"/>
        </w:rPr>
        <w:t>”</w:t>
      </w:r>
      <w:r>
        <w:rPr>
          <w:rFonts w:hint="eastAsia" w:hAnsi="宋体"/>
          <w:bCs/>
          <w:kern w:val="0"/>
          <w:sz w:val="24"/>
        </w:rPr>
        <w:t>验收一览表</w:t>
      </w:r>
      <w:r>
        <w:rPr>
          <w:bCs/>
          <w:kern w:val="0"/>
          <w:sz w:val="24"/>
        </w:rPr>
        <w:t xml:space="preserve">  </w:t>
      </w:r>
      <w:r>
        <w:rPr>
          <w:rFonts w:hint="eastAsia" w:hAnsi="宋体"/>
          <w:bCs/>
          <w:kern w:val="0"/>
          <w:sz w:val="24"/>
        </w:rPr>
        <w:t>（单位：万元）</w:t>
      </w:r>
    </w:p>
    <w:tbl>
      <w:tblPr>
        <w:tblStyle w:val="34"/>
        <w:tblW w:w="89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115"/>
        <w:gridCol w:w="1375"/>
        <w:gridCol w:w="1779"/>
        <w:gridCol w:w="505"/>
        <w:gridCol w:w="1529"/>
        <w:gridCol w:w="1003"/>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7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项目名称</w:t>
            </w:r>
          </w:p>
        </w:tc>
        <w:tc>
          <w:tcPr>
            <w:tcW w:w="8196" w:type="dxa"/>
            <w:gridSpan w:val="7"/>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南京民聚德合金有限公司仓库建设项目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7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类别</w:t>
            </w:r>
          </w:p>
        </w:tc>
        <w:tc>
          <w:tcPr>
            <w:tcW w:w="111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污染源</w:t>
            </w:r>
          </w:p>
        </w:tc>
        <w:tc>
          <w:tcPr>
            <w:tcW w:w="137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污染物</w:t>
            </w:r>
          </w:p>
        </w:tc>
        <w:tc>
          <w:tcPr>
            <w:tcW w:w="228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治理措施</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处理效果</w:t>
            </w:r>
          </w:p>
        </w:tc>
        <w:tc>
          <w:tcPr>
            <w:tcW w:w="10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投资额</w:t>
            </w:r>
            <w:r>
              <w:rPr>
                <w:b/>
                <w:sz w:val="21"/>
                <w:szCs w:val="21"/>
              </w:rPr>
              <w:t>/</w:t>
            </w:r>
            <w:r>
              <w:rPr>
                <w:rFonts w:hint="eastAsia" w:hAnsi="宋体"/>
                <w:b/>
                <w:sz w:val="21"/>
                <w:szCs w:val="21"/>
              </w:rPr>
              <w:t>万元</w:t>
            </w:r>
          </w:p>
        </w:tc>
        <w:tc>
          <w:tcPr>
            <w:tcW w:w="89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b/>
                <w:sz w:val="21"/>
                <w:szCs w:val="21"/>
              </w:rPr>
            </w:pPr>
            <w:r>
              <w:rPr>
                <w:rFonts w:hint="eastAsia" w:hAnsi="宋体"/>
                <w:b/>
                <w:sz w:val="21"/>
                <w:szCs w:val="21"/>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jc w:val="center"/>
        </w:trPr>
        <w:tc>
          <w:tcPr>
            <w:tcW w:w="7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Ansi="宋体"/>
                <w:sz w:val="21"/>
                <w:szCs w:val="21"/>
              </w:rPr>
            </w:pPr>
            <w:r>
              <w:rPr>
                <w:rFonts w:hint="eastAsia" w:hAnsi="宋体"/>
                <w:sz w:val="21"/>
                <w:szCs w:val="21"/>
              </w:rPr>
              <w:t>废气</w:t>
            </w:r>
          </w:p>
        </w:tc>
        <w:tc>
          <w:tcPr>
            <w:tcW w:w="111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hAnsi="宋体"/>
                <w:sz w:val="21"/>
                <w:szCs w:val="21"/>
              </w:rPr>
            </w:pPr>
            <w:r>
              <w:rPr>
                <w:rFonts w:hint="eastAsia" w:hAnsi="宋体"/>
                <w:sz w:val="21"/>
                <w:szCs w:val="21"/>
              </w:rPr>
              <w:t>机械废气</w:t>
            </w:r>
          </w:p>
        </w:tc>
        <w:tc>
          <w:tcPr>
            <w:tcW w:w="1375"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SO</w:t>
            </w:r>
            <w:r>
              <w:rPr>
                <w:sz w:val="21"/>
                <w:szCs w:val="21"/>
                <w:vertAlign w:val="subscript"/>
              </w:rPr>
              <w:t>2</w:t>
            </w:r>
          </w:p>
          <w:p>
            <w:pPr>
              <w:jc w:val="center"/>
              <w:rPr>
                <w:sz w:val="21"/>
                <w:szCs w:val="21"/>
              </w:rPr>
            </w:pPr>
            <w:r>
              <w:rPr>
                <w:sz w:val="21"/>
                <w:szCs w:val="21"/>
              </w:rPr>
              <w:t>NO</w:t>
            </w:r>
            <w:r>
              <w:rPr>
                <w:sz w:val="21"/>
                <w:szCs w:val="21"/>
                <w:vertAlign w:val="subscript"/>
              </w:rPr>
              <w:t>X</w:t>
            </w:r>
          </w:p>
          <w:p>
            <w:pPr>
              <w:spacing w:line="280" w:lineRule="exact"/>
              <w:jc w:val="center"/>
              <w:rPr>
                <w:rFonts w:hAnsi="宋体"/>
                <w:sz w:val="21"/>
                <w:szCs w:val="21"/>
              </w:rPr>
            </w:pPr>
            <w:r>
              <w:rPr>
                <w:sz w:val="21"/>
                <w:szCs w:val="21"/>
              </w:rPr>
              <w:t>CO</w:t>
            </w:r>
          </w:p>
        </w:tc>
        <w:tc>
          <w:tcPr>
            <w:tcW w:w="228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Ansi="宋体"/>
                <w:sz w:val="21"/>
                <w:szCs w:val="21"/>
              </w:rPr>
            </w:pPr>
            <w:r>
              <w:rPr>
                <w:rFonts w:hint="eastAsia" w:hAnsi="宋体"/>
                <w:sz w:val="21"/>
                <w:szCs w:val="21"/>
              </w:rPr>
              <w:t>无组织排放</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Ansi="宋体"/>
                <w:sz w:val="21"/>
                <w:szCs w:val="21"/>
              </w:rPr>
            </w:pPr>
            <w:r>
              <w:rPr>
                <w:rFonts w:hint="eastAsia" w:hAnsi="宋体"/>
                <w:sz w:val="21"/>
                <w:szCs w:val="21"/>
              </w:rPr>
              <w:t>厂界达标</w:t>
            </w:r>
          </w:p>
        </w:tc>
        <w:tc>
          <w:tcPr>
            <w:tcW w:w="10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0</w:t>
            </w:r>
          </w:p>
        </w:tc>
        <w:tc>
          <w:tcPr>
            <w:tcW w:w="890" w:type="dxa"/>
            <w:vMerge w:val="restart"/>
            <w:tcBorders>
              <w:top w:val="single" w:color="auto" w:sz="4" w:space="0"/>
              <w:left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与建设项目同时设计、施工、</w:t>
            </w:r>
          </w:p>
          <w:p>
            <w:pPr>
              <w:spacing w:line="280" w:lineRule="exact"/>
              <w:jc w:val="center"/>
              <w:rPr>
                <w:rFonts w:hAnsi="宋体"/>
                <w:sz w:val="21"/>
                <w:szCs w:val="21"/>
              </w:rPr>
            </w:pPr>
            <w:r>
              <w:rPr>
                <w:rFonts w:hint="eastAsia" w:hAnsi="宋体"/>
                <w:sz w:val="21"/>
                <w:szCs w:val="21"/>
              </w:rPr>
              <w:t>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755" w:type="dxa"/>
            <w:tcBorders>
              <w:top w:val="single" w:color="auto" w:sz="4" w:space="0"/>
              <w:left w:val="single" w:color="auto" w:sz="4" w:space="0"/>
              <w:right w:val="single" w:color="auto" w:sz="4" w:space="0"/>
            </w:tcBorders>
            <w:vAlign w:val="center"/>
          </w:tcPr>
          <w:p>
            <w:pPr>
              <w:spacing w:line="280" w:lineRule="exact"/>
              <w:jc w:val="center"/>
              <w:rPr>
                <w:rFonts w:hAnsi="宋体"/>
                <w:sz w:val="21"/>
                <w:szCs w:val="21"/>
              </w:rPr>
            </w:pPr>
            <w:r>
              <w:rPr>
                <w:rFonts w:hint="eastAsia" w:hAnsi="宋体"/>
                <w:sz w:val="21"/>
                <w:szCs w:val="21"/>
              </w:rPr>
              <w:t>废水</w:t>
            </w:r>
          </w:p>
        </w:tc>
        <w:tc>
          <w:tcPr>
            <w:tcW w:w="111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sz w:val="21"/>
                <w:szCs w:val="21"/>
              </w:rPr>
              <w:t>生活污水</w:t>
            </w:r>
          </w:p>
        </w:tc>
        <w:tc>
          <w:tcPr>
            <w:tcW w:w="137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sz w:val="21"/>
                <w:szCs w:val="21"/>
              </w:rPr>
              <w:t>COD</w:t>
            </w:r>
            <w:r>
              <w:rPr>
                <w:rFonts w:hint="eastAsia" w:hAnsi="宋体"/>
                <w:sz w:val="21"/>
                <w:szCs w:val="21"/>
              </w:rPr>
              <w:t>、</w:t>
            </w:r>
            <w:r>
              <w:rPr>
                <w:sz w:val="21"/>
                <w:szCs w:val="21"/>
              </w:rPr>
              <w:t>SS</w:t>
            </w:r>
            <w:r>
              <w:rPr>
                <w:rFonts w:hint="eastAsia" w:hAnsi="宋体"/>
                <w:sz w:val="21"/>
                <w:szCs w:val="21"/>
              </w:rPr>
              <w:t>、氨氮、总磷</w:t>
            </w:r>
          </w:p>
        </w:tc>
        <w:tc>
          <w:tcPr>
            <w:tcW w:w="228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napToGrid w:val="0"/>
                <w:kern w:val="0"/>
                <w:sz w:val="21"/>
                <w:szCs w:val="21"/>
              </w:rPr>
              <w:t>化粪池1个</w:t>
            </w:r>
          </w:p>
        </w:tc>
        <w:tc>
          <w:tcPr>
            <w:tcW w:w="1529" w:type="dxa"/>
            <w:tcBorders>
              <w:top w:val="single" w:color="auto" w:sz="4" w:space="0"/>
              <w:left w:val="single" w:color="auto" w:sz="4" w:space="0"/>
              <w:right w:val="single" w:color="auto" w:sz="4" w:space="0"/>
            </w:tcBorders>
            <w:vAlign w:val="center"/>
          </w:tcPr>
          <w:p>
            <w:pPr>
              <w:spacing w:line="280" w:lineRule="exact"/>
              <w:jc w:val="center"/>
              <w:rPr>
                <w:rFonts w:hAnsi="宋体"/>
                <w:bCs/>
                <w:snapToGrid w:val="0"/>
                <w:kern w:val="0"/>
                <w:sz w:val="21"/>
                <w:szCs w:val="21"/>
              </w:rPr>
            </w:pPr>
            <w:r>
              <w:rPr>
                <w:rFonts w:hint="eastAsia" w:hAnsi="宋体"/>
                <w:bCs/>
                <w:snapToGrid w:val="0"/>
                <w:kern w:val="0"/>
                <w:sz w:val="21"/>
                <w:szCs w:val="21"/>
              </w:rPr>
              <w:t>确保达开发区污水处理厂接管标准</w:t>
            </w:r>
          </w:p>
        </w:tc>
        <w:tc>
          <w:tcPr>
            <w:tcW w:w="1003" w:type="dxa"/>
            <w:tcBorders>
              <w:top w:val="single" w:color="auto" w:sz="4" w:space="0"/>
              <w:left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10</w:t>
            </w:r>
          </w:p>
        </w:tc>
        <w:tc>
          <w:tcPr>
            <w:tcW w:w="890" w:type="dxa"/>
            <w:vMerge w:val="continue"/>
            <w:tcBorders>
              <w:left w:val="single" w:color="auto" w:sz="4" w:space="0"/>
              <w:right w:val="single" w:color="auto" w:sz="4" w:space="0"/>
            </w:tcBorders>
            <w:vAlign w:val="center"/>
          </w:tcPr>
          <w:p>
            <w:pPr>
              <w:widowControl/>
              <w:jc w:val="left"/>
              <w:rPr>
                <w:rFonts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7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Ansi="宋体"/>
                <w:sz w:val="21"/>
                <w:szCs w:val="21"/>
              </w:rPr>
            </w:pPr>
            <w:r>
              <w:rPr>
                <w:rFonts w:hint="eastAsia" w:hAnsi="宋体"/>
                <w:sz w:val="21"/>
                <w:szCs w:val="21"/>
              </w:rPr>
              <w:t>噪声</w:t>
            </w:r>
          </w:p>
        </w:tc>
        <w:tc>
          <w:tcPr>
            <w:tcW w:w="111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6"/>
                <w:sz w:val="21"/>
                <w:szCs w:val="21"/>
              </w:rPr>
            </w:pPr>
            <w:r>
              <w:rPr>
                <w:rFonts w:hint="eastAsia" w:hAnsi="宋体"/>
                <w:spacing w:val="-6"/>
                <w:sz w:val="21"/>
                <w:szCs w:val="21"/>
              </w:rPr>
              <w:t>车辆、水泵、风机、空调外机等机械设备</w:t>
            </w:r>
          </w:p>
        </w:tc>
        <w:tc>
          <w:tcPr>
            <w:tcW w:w="137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噪声</w:t>
            </w:r>
          </w:p>
        </w:tc>
        <w:tc>
          <w:tcPr>
            <w:tcW w:w="228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减振、消声、隔声、放置于厂房内等</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场界噪声达标</w:t>
            </w:r>
          </w:p>
        </w:tc>
        <w:tc>
          <w:tcPr>
            <w:tcW w:w="10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5</w:t>
            </w:r>
          </w:p>
        </w:tc>
        <w:tc>
          <w:tcPr>
            <w:tcW w:w="890" w:type="dxa"/>
            <w:vMerge w:val="continue"/>
            <w:tcBorders>
              <w:left w:val="single" w:color="auto" w:sz="4" w:space="0"/>
              <w:right w:val="single" w:color="auto" w:sz="4" w:space="0"/>
            </w:tcBorders>
            <w:vAlign w:val="center"/>
          </w:tcPr>
          <w:p>
            <w:pPr>
              <w:widowControl/>
              <w:jc w:val="left"/>
              <w:rPr>
                <w:rFonts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 w:hRule="atLeast"/>
          <w:jc w:val="center"/>
        </w:trPr>
        <w:tc>
          <w:tcPr>
            <w:tcW w:w="755" w:type="dxa"/>
            <w:tcBorders>
              <w:top w:val="single" w:color="auto" w:sz="4" w:space="0"/>
              <w:left w:val="single" w:color="auto" w:sz="4" w:space="0"/>
              <w:right w:val="single" w:color="auto" w:sz="4" w:space="0"/>
            </w:tcBorders>
            <w:vAlign w:val="center"/>
          </w:tcPr>
          <w:p>
            <w:pPr>
              <w:spacing w:line="280" w:lineRule="exact"/>
              <w:jc w:val="center"/>
              <w:rPr>
                <w:rFonts w:hAnsi="宋体"/>
                <w:sz w:val="21"/>
                <w:szCs w:val="21"/>
              </w:rPr>
            </w:pPr>
            <w:r>
              <w:rPr>
                <w:rFonts w:hint="eastAsia" w:hAnsi="宋体"/>
                <w:sz w:val="21"/>
                <w:szCs w:val="21"/>
              </w:rPr>
              <w:t>固废</w:t>
            </w:r>
          </w:p>
        </w:tc>
        <w:tc>
          <w:tcPr>
            <w:tcW w:w="1115" w:type="dxa"/>
            <w:tcBorders>
              <w:top w:val="single" w:color="auto" w:sz="4" w:space="0"/>
              <w:left w:val="single" w:color="auto" w:sz="4" w:space="0"/>
              <w:right w:val="single" w:color="auto" w:sz="4" w:space="0"/>
            </w:tcBorders>
            <w:vAlign w:val="center"/>
          </w:tcPr>
          <w:p>
            <w:pPr>
              <w:spacing w:line="280" w:lineRule="exact"/>
              <w:jc w:val="center"/>
              <w:rPr>
                <w:rFonts w:hAnsi="宋体"/>
                <w:sz w:val="21"/>
                <w:szCs w:val="21"/>
              </w:rPr>
            </w:pPr>
            <w:r>
              <w:rPr>
                <w:rFonts w:hint="eastAsia" w:hAnsi="宋体"/>
                <w:sz w:val="21"/>
                <w:szCs w:val="21"/>
              </w:rPr>
              <w:t>运营期</w:t>
            </w:r>
          </w:p>
        </w:tc>
        <w:tc>
          <w:tcPr>
            <w:tcW w:w="1375"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生活垃圾</w:t>
            </w:r>
          </w:p>
        </w:tc>
        <w:tc>
          <w:tcPr>
            <w:tcW w:w="2284" w:type="dxa"/>
            <w:gridSpan w:val="2"/>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环卫部门收集处理处置</w:t>
            </w:r>
          </w:p>
        </w:tc>
        <w:tc>
          <w:tcPr>
            <w:tcW w:w="1529" w:type="dxa"/>
            <w:tcBorders>
              <w:top w:val="single" w:color="auto" w:sz="4" w:space="0"/>
              <w:left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无外排</w:t>
            </w:r>
          </w:p>
        </w:tc>
        <w:tc>
          <w:tcPr>
            <w:tcW w:w="1003" w:type="dxa"/>
            <w:tcBorders>
              <w:top w:val="single" w:color="auto" w:sz="4" w:space="0"/>
              <w:left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2</w:t>
            </w:r>
          </w:p>
        </w:tc>
        <w:tc>
          <w:tcPr>
            <w:tcW w:w="890" w:type="dxa"/>
            <w:vMerge w:val="continue"/>
            <w:tcBorders>
              <w:left w:val="single" w:color="auto" w:sz="4" w:space="0"/>
              <w:right w:val="single" w:color="auto" w:sz="4" w:space="0"/>
            </w:tcBorders>
            <w:vAlign w:val="center"/>
          </w:tcPr>
          <w:p>
            <w:pPr>
              <w:widowControl/>
              <w:jc w:val="left"/>
              <w:rPr>
                <w:rFonts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绿化</w:t>
            </w:r>
          </w:p>
        </w:tc>
        <w:tc>
          <w:tcPr>
            <w:tcW w:w="3659"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项目场界内绿化</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绿化率</w:t>
            </w:r>
            <w:r>
              <w:rPr>
                <w:rFonts w:hint="eastAsia"/>
                <w:sz w:val="21"/>
                <w:szCs w:val="21"/>
              </w:rPr>
              <w:t>25</w:t>
            </w:r>
            <w:r>
              <w:rPr>
                <w:sz w:val="21"/>
                <w:szCs w:val="21"/>
              </w:rPr>
              <w:t>%</w:t>
            </w:r>
          </w:p>
        </w:tc>
        <w:tc>
          <w:tcPr>
            <w:tcW w:w="10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宋体"/>
                <w:sz w:val="21"/>
                <w:szCs w:val="21"/>
                <w:lang w:eastAsia="zh-CN"/>
              </w:rPr>
            </w:pPr>
            <w:r>
              <w:rPr>
                <w:rFonts w:hint="eastAsia"/>
                <w:sz w:val="21"/>
                <w:szCs w:val="21"/>
                <w:lang w:val="en-US" w:eastAsia="zh-CN"/>
              </w:rPr>
              <w:t>20</w:t>
            </w:r>
          </w:p>
        </w:tc>
        <w:tc>
          <w:tcPr>
            <w:tcW w:w="89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事故应急措施</w:t>
            </w:r>
          </w:p>
        </w:tc>
        <w:tc>
          <w:tcPr>
            <w:tcW w:w="3659"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sz w:val="21"/>
                <w:szCs w:val="21"/>
              </w:rPr>
              <w:t>消防设施等</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sz w:val="21"/>
                <w:szCs w:val="21"/>
              </w:rPr>
              <w:t>/</w:t>
            </w:r>
          </w:p>
        </w:tc>
        <w:tc>
          <w:tcPr>
            <w:tcW w:w="10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w:t>
            </w:r>
          </w:p>
        </w:tc>
        <w:tc>
          <w:tcPr>
            <w:tcW w:w="89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环境管理（机构、监测能力等）</w:t>
            </w:r>
          </w:p>
        </w:tc>
        <w:tc>
          <w:tcPr>
            <w:tcW w:w="3659"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sz w:val="21"/>
                <w:szCs w:val="21"/>
              </w:rPr>
              <w:t>委托监测</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sz w:val="21"/>
                <w:szCs w:val="21"/>
              </w:rPr>
              <w:t>/</w:t>
            </w:r>
          </w:p>
        </w:tc>
        <w:tc>
          <w:tcPr>
            <w:tcW w:w="10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w:t>
            </w:r>
          </w:p>
        </w:tc>
        <w:tc>
          <w:tcPr>
            <w:tcW w:w="89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满足日常监测需要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清污分流、排污口规范化设置（流量计、在线检测仪等）</w:t>
            </w:r>
          </w:p>
        </w:tc>
        <w:tc>
          <w:tcPr>
            <w:tcW w:w="315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napToGrid w:val="0"/>
                <w:kern w:val="0"/>
                <w:sz w:val="21"/>
                <w:szCs w:val="21"/>
              </w:rPr>
              <w:t>清污分流、雨污分流管网，在污水排口设流量计等</w:t>
            </w:r>
          </w:p>
        </w:tc>
        <w:tc>
          <w:tcPr>
            <w:tcW w:w="5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清污分流</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3</w:t>
            </w:r>
          </w:p>
        </w:tc>
        <w:tc>
          <w:tcPr>
            <w:tcW w:w="189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与建设项目同时设计、施工、运行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ind w:right="-112" w:rightChars="-40"/>
              <w:jc w:val="center"/>
              <w:rPr>
                <w:sz w:val="21"/>
                <w:szCs w:val="21"/>
              </w:rPr>
            </w:pPr>
            <w:r>
              <w:rPr>
                <w:sz w:val="21"/>
                <w:szCs w:val="21"/>
              </w:rPr>
              <w:t>“</w:t>
            </w:r>
            <w:r>
              <w:rPr>
                <w:rFonts w:hint="eastAsia" w:hAnsi="宋体"/>
                <w:sz w:val="21"/>
                <w:szCs w:val="21"/>
              </w:rPr>
              <w:t>以新代老</w:t>
            </w:r>
            <w:r>
              <w:rPr>
                <w:sz w:val="21"/>
                <w:szCs w:val="21"/>
              </w:rPr>
              <w:t>”</w:t>
            </w:r>
            <w:r>
              <w:rPr>
                <w:rFonts w:hint="eastAsia" w:hAnsi="宋体"/>
                <w:sz w:val="21"/>
                <w:szCs w:val="21"/>
              </w:rPr>
              <w:t>措施</w:t>
            </w:r>
          </w:p>
        </w:tc>
        <w:tc>
          <w:tcPr>
            <w:tcW w:w="7081" w:type="dxa"/>
            <w:gridSpan w:val="6"/>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总量平衡具体方案</w:t>
            </w:r>
          </w:p>
        </w:tc>
        <w:tc>
          <w:tcPr>
            <w:tcW w:w="7081" w:type="dxa"/>
            <w:gridSpan w:val="6"/>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水污染物</w:t>
            </w:r>
            <w:r>
              <w:rPr>
                <w:rFonts w:hAnsi="宋体"/>
                <w:sz w:val="21"/>
                <w:szCs w:val="21"/>
              </w:rPr>
              <w:t>COD</w:t>
            </w:r>
            <w:r>
              <w:rPr>
                <w:rFonts w:hint="eastAsia" w:hAnsi="宋体"/>
                <w:sz w:val="21"/>
                <w:szCs w:val="21"/>
              </w:rPr>
              <w:t>、</w:t>
            </w:r>
            <w:r>
              <w:rPr>
                <w:rFonts w:hAnsi="宋体"/>
                <w:sz w:val="21"/>
                <w:szCs w:val="21"/>
              </w:rPr>
              <w:t>SS</w:t>
            </w:r>
            <w:r>
              <w:rPr>
                <w:rFonts w:hint="eastAsia" w:hAnsi="宋体"/>
                <w:sz w:val="21"/>
                <w:szCs w:val="21"/>
              </w:rPr>
              <w:t>、</w:t>
            </w:r>
            <w:r>
              <w:rPr>
                <w:rFonts w:hAnsi="宋体"/>
                <w:sz w:val="21"/>
                <w:szCs w:val="21"/>
              </w:rPr>
              <w:t>NH</w:t>
            </w:r>
            <w:r>
              <w:rPr>
                <w:rFonts w:hAnsi="宋体"/>
                <w:sz w:val="21"/>
                <w:szCs w:val="21"/>
                <w:vertAlign w:val="subscript"/>
              </w:rPr>
              <w:t>3</w:t>
            </w:r>
            <w:r>
              <w:rPr>
                <w:rFonts w:hAnsi="宋体"/>
                <w:sz w:val="21"/>
                <w:szCs w:val="21"/>
              </w:rPr>
              <w:t>-N</w:t>
            </w:r>
            <w:r>
              <w:rPr>
                <w:rFonts w:hint="eastAsia" w:hAnsi="宋体"/>
                <w:sz w:val="21"/>
                <w:szCs w:val="21"/>
              </w:rPr>
              <w:t>、</w:t>
            </w:r>
            <w:r>
              <w:rPr>
                <w:rFonts w:hAnsi="宋体"/>
                <w:sz w:val="21"/>
                <w:szCs w:val="21"/>
              </w:rPr>
              <w:t>TP</w:t>
            </w:r>
            <w:r>
              <w:rPr>
                <w:rFonts w:hint="eastAsia" w:hAnsi="宋体"/>
                <w:sz w:val="21"/>
                <w:szCs w:val="21"/>
              </w:rPr>
              <w:t>指标在开发区污水处理厂已申请指标内平衡；项目固废零排放。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区域解决问题</w:t>
            </w:r>
          </w:p>
        </w:tc>
        <w:tc>
          <w:tcPr>
            <w:tcW w:w="7081" w:type="dxa"/>
            <w:gridSpan w:val="6"/>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卫生防护距离设置（以设施或厂界设置、敏感保护目标情况等）</w:t>
            </w:r>
          </w:p>
        </w:tc>
        <w:tc>
          <w:tcPr>
            <w:tcW w:w="7081" w:type="dxa"/>
            <w:gridSpan w:val="6"/>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87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r>
              <w:rPr>
                <w:rFonts w:hint="eastAsia" w:hAnsi="宋体"/>
                <w:sz w:val="21"/>
                <w:szCs w:val="21"/>
              </w:rPr>
              <w:t>合计</w:t>
            </w:r>
          </w:p>
        </w:tc>
        <w:tc>
          <w:tcPr>
            <w:tcW w:w="3659"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p>
        </w:tc>
        <w:tc>
          <w:tcPr>
            <w:tcW w:w="15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宋体"/>
                <w:sz w:val="21"/>
                <w:szCs w:val="21"/>
                <w:lang w:eastAsia="zh-CN"/>
              </w:rPr>
            </w:pPr>
            <w:r>
              <w:rPr>
                <w:rFonts w:hint="eastAsia"/>
                <w:sz w:val="21"/>
                <w:szCs w:val="21"/>
                <w:lang w:val="en-US" w:eastAsia="zh-CN"/>
              </w:rPr>
              <w:t>37</w:t>
            </w:r>
          </w:p>
        </w:tc>
        <w:tc>
          <w:tcPr>
            <w:tcW w:w="189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 w:val="21"/>
                <w:szCs w:val="21"/>
              </w:rPr>
            </w:pPr>
          </w:p>
        </w:tc>
      </w:tr>
    </w:tbl>
    <w:p>
      <w:pPr>
        <w:rPr>
          <w:rFonts w:hint="eastAsia"/>
          <w:b/>
          <w:bCs/>
          <w:szCs w:val="28"/>
        </w:rPr>
      </w:pPr>
    </w:p>
    <w:p>
      <w:pPr>
        <w:rPr>
          <w:rFonts w:hint="eastAsia"/>
          <w:b/>
          <w:bCs/>
          <w:szCs w:val="28"/>
        </w:rPr>
      </w:pPr>
    </w:p>
    <w:p>
      <w:pPr>
        <w:rPr>
          <w:rFonts w:hint="eastAsia"/>
          <w:b/>
          <w:bCs/>
          <w:szCs w:val="28"/>
        </w:rPr>
      </w:pPr>
    </w:p>
    <w:p>
      <w:pPr>
        <w:rPr>
          <w:rFonts w:hint="eastAsia"/>
          <w:b/>
          <w:bCs/>
          <w:szCs w:val="28"/>
        </w:rPr>
      </w:pPr>
    </w:p>
    <w:p>
      <w:pPr>
        <w:rPr>
          <w:rFonts w:hint="eastAsia"/>
          <w:b/>
          <w:bCs/>
          <w:szCs w:val="28"/>
        </w:rPr>
      </w:pPr>
    </w:p>
    <w:p>
      <w:pPr>
        <w:rPr>
          <w:rFonts w:hint="eastAsia"/>
          <w:b/>
          <w:bCs/>
          <w:szCs w:val="28"/>
        </w:rPr>
      </w:pPr>
    </w:p>
    <w:p>
      <w:pPr>
        <w:outlineLvl w:val="0"/>
        <w:rPr>
          <w:b/>
          <w:bCs/>
          <w:szCs w:val="28"/>
        </w:rPr>
      </w:pPr>
      <w:r>
        <w:rPr>
          <w:rFonts w:hint="eastAsia"/>
          <w:b/>
          <w:szCs w:val="28"/>
        </w:rPr>
        <w:t>九、</w:t>
      </w:r>
      <w:r>
        <w:rPr>
          <w:b/>
          <w:szCs w:val="28"/>
        </w:rPr>
        <w:t>结论与建议</w:t>
      </w:r>
    </w:p>
    <w:tbl>
      <w:tblPr>
        <w:tblStyle w:val="34"/>
        <w:tblW w:w="9135"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13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12898" w:hRule="atLeast"/>
        </w:trPr>
        <w:tc>
          <w:tcPr>
            <w:tcW w:w="9135" w:type="dxa"/>
            <w:vAlign w:val="top"/>
          </w:tcPr>
          <w:p>
            <w:pPr>
              <w:spacing w:line="440" w:lineRule="exact"/>
              <w:ind w:firstLine="482" w:firstLineChars="200"/>
              <w:rPr>
                <w:b/>
                <w:sz w:val="24"/>
                <w:szCs w:val="24"/>
              </w:rPr>
            </w:pPr>
            <w:r>
              <w:rPr>
                <w:b/>
                <w:sz w:val="24"/>
                <w:szCs w:val="24"/>
              </w:rPr>
              <w:t>1、评价结论：</w:t>
            </w:r>
          </w:p>
          <w:p>
            <w:pPr>
              <w:spacing w:line="440" w:lineRule="exact"/>
              <w:ind w:firstLine="482" w:firstLineChars="200"/>
              <w:rPr>
                <w:b/>
                <w:sz w:val="24"/>
                <w:szCs w:val="24"/>
              </w:rPr>
            </w:pPr>
            <w:bookmarkStart w:id="7" w:name="_Toc141089194"/>
            <w:r>
              <w:rPr>
                <w:rFonts w:hint="eastAsia"/>
                <w:b/>
                <w:sz w:val="24"/>
                <w:szCs w:val="24"/>
              </w:rPr>
              <w:t>（</w:t>
            </w:r>
            <w:r>
              <w:rPr>
                <w:b/>
                <w:sz w:val="24"/>
                <w:szCs w:val="24"/>
              </w:rPr>
              <w:t>1）产业政策相</w:t>
            </w:r>
            <w:r>
              <w:rPr>
                <w:rFonts w:hint="eastAsia"/>
                <w:b/>
                <w:sz w:val="24"/>
                <w:szCs w:val="24"/>
              </w:rPr>
              <w:t>符</w:t>
            </w:r>
            <w:r>
              <w:rPr>
                <w:b/>
                <w:sz w:val="24"/>
                <w:szCs w:val="24"/>
              </w:rPr>
              <w:t>性</w:t>
            </w:r>
            <w:bookmarkEnd w:id="7"/>
          </w:p>
          <w:p>
            <w:pPr>
              <w:spacing w:line="440" w:lineRule="exact"/>
              <w:ind w:firstLine="480" w:firstLineChars="200"/>
              <w:rPr>
                <w:rFonts w:hint="eastAsia"/>
                <w:sz w:val="24"/>
              </w:rPr>
            </w:pPr>
            <w:r>
              <w:rPr>
                <w:rFonts w:hint="eastAsia"/>
                <w:sz w:val="24"/>
              </w:rPr>
              <w:t>南京民聚德合金有限公司仓库建设项目建成后将形成货物仓储配送规模达到2万t/年。</w:t>
            </w:r>
          </w:p>
          <w:p>
            <w:pPr>
              <w:spacing w:line="360" w:lineRule="auto"/>
              <w:ind w:firstLine="480" w:firstLineChars="200"/>
              <w:rPr>
                <w:rFonts w:hint="eastAsia"/>
                <w:sz w:val="24"/>
              </w:rPr>
            </w:pPr>
            <w:r>
              <w:rPr>
                <w:rFonts w:hint="eastAsia"/>
                <w:sz w:val="24"/>
              </w:rPr>
              <w:t>该项目属其他仓储业（G5990 ），本项目不属于《产业结构调整指导目录》(2011年本)（中华人民共和国国家发展和改革委员会令第9号）及修正和《江苏省工业和信息产业结构调整指导目录》（2012年本）及《关于修改&lt;江苏省工业和信息产业结构调整指导目录（2012年本）&gt;部分条目的通知》中的限制类和淘汰类产业，为允许类项目。</w:t>
            </w:r>
          </w:p>
          <w:p>
            <w:pPr>
              <w:spacing w:line="360" w:lineRule="auto"/>
              <w:ind w:firstLine="482" w:firstLineChars="200"/>
              <w:rPr>
                <w:b/>
                <w:sz w:val="24"/>
                <w:szCs w:val="24"/>
              </w:rPr>
            </w:pPr>
            <w:bookmarkStart w:id="8" w:name="_Toc141089195"/>
            <w:r>
              <w:rPr>
                <w:rFonts w:hint="eastAsia"/>
                <w:b/>
                <w:sz w:val="24"/>
                <w:szCs w:val="24"/>
              </w:rPr>
              <w:t>（</w:t>
            </w:r>
            <w:r>
              <w:rPr>
                <w:b/>
                <w:sz w:val="24"/>
                <w:szCs w:val="24"/>
              </w:rPr>
              <w:t>2）项目建设与规划的相容性</w:t>
            </w:r>
            <w:bookmarkEnd w:id="8"/>
          </w:p>
          <w:p>
            <w:pPr>
              <w:adjustRightInd w:val="0"/>
              <w:snapToGrid w:val="0"/>
              <w:spacing w:line="360" w:lineRule="auto"/>
              <w:ind w:firstLine="480" w:firstLineChars="200"/>
              <w:jc w:val="left"/>
              <w:rPr>
                <w:rFonts w:hint="eastAsia" w:hAnsi="宋体"/>
                <w:sz w:val="24"/>
              </w:rPr>
            </w:pPr>
            <w:bookmarkStart w:id="9" w:name="_Toc141089196"/>
            <w:r>
              <w:rPr>
                <w:rFonts w:hint="eastAsia" w:hAnsi="宋体"/>
                <w:sz w:val="24"/>
              </w:rPr>
              <w:t>本项目为物流项目，项目位于南京经济技术开发区，根据园区用地规划，项目所在地用地性质为工业用地，</w:t>
            </w:r>
            <w:r>
              <w:rPr>
                <w:rFonts w:hint="eastAsia" w:hAnsi="宋体"/>
                <w:sz w:val="24"/>
                <w:lang w:val="en-US" w:eastAsia="zh-CN"/>
              </w:rPr>
              <w:t>行业分类为仓储业，符合园区规划。</w:t>
            </w:r>
            <w:r>
              <w:rPr>
                <w:rFonts w:hint="eastAsia" w:hAnsi="宋体"/>
                <w:sz w:val="24"/>
              </w:rPr>
              <w:t>因此，项目</w:t>
            </w:r>
            <w:r>
              <w:rPr>
                <w:rFonts w:hint="eastAsia" w:hAnsi="宋体"/>
                <w:sz w:val="24"/>
                <w:lang w:val="en-US" w:eastAsia="zh-CN"/>
              </w:rPr>
              <w:t>选址</w:t>
            </w:r>
            <w:r>
              <w:rPr>
                <w:rFonts w:hint="eastAsia" w:hAnsi="宋体"/>
                <w:sz w:val="24"/>
              </w:rPr>
              <w:t>可行。</w:t>
            </w:r>
          </w:p>
          <w:p>
            <w:pPr>
              <w:spacing w:line="360" w:lineRule="auto"/>
              <w:ind w:firstLine="482" w:firstLineChars="200"/>
              <w:rPr>
                <w:b/>
                <w:sz w:val="24"/>
                <w:szCs w:val="24"/>
              </w:rPr>
            </w:pPr>
            <w:r>
              <w:rPr>
                <w:rFonts w:hint="eastAsia"/>
                <w:b/>
                <w:sz w:val="24"/>
                <w:szCs w:val="24"/>
              </w:rPr>
              <w:t>（3）</w:t>
            </w:r>
            <w:r>
              <w:rPr>
                <w:b/>
                <w:sz w:val="24"/>
                <w:szCs w:val="24"/>
              </w:rPr>
              <w:t>清洁生产水平</w:t>
            </w:r>
            <w:bookmarkEnd w:id="9"/>
          </w:p>
          <w:p>
            <w:pPr>
              <w:spacing w:line="360" w:lineRule="auto"/>
              <w:ind w:firstLine="480" w:firstLineChars="200"/>
              <w:rPr>
                <w:sz w:val="24"/>
              </w:rPr>
            </w:pPr>
            <w:r>
              <w:rPr>
                <w:rFonts w:hint="eastAsia"/>
                <w:sz w:val="24"/>
              </w:rPr>
              <w:t>生活污水经化粪池处理后，接管污水处理厂集中处理，不会对评价区内地表水产生影响；项目生产设备无高噪声设备，厂界噪声可达到噪声排放标准要求；项目生产过程中产生的固废，都得到了妥善的处置。</w:t>
            </w:r>
            <w:r>
              <w:rPr>
                <w:sz w:val="24"/>
              </w:rPr>
              <w:t>因此，本项目有较高的清洁生产与循环经济水平。</w:t>
            </w:r>
          </w:p>
          <w:p>
            <w:pPr>
              <w:spacing w:line="360" w:lineRule="auto"/>
              <w:ind w:firstLine="482" w:firstLineChars="200"/>
              <w:rPr>
                <w:b/>
                <w:sz w:val="24"/>
                <w:szCs w:val="24"/>
              </w:rPr>
            </w:pPr>
            <w:bookmarkStart w:id="10" w:name="_Toc141089197"/>
            <w:r>
              <w:rPr>
                <w:rFonts w:hint="eastAsia"/>
                <w:b/>
                <w:sz w:val="24"/>
                <w:szCs w:val="24"/>
              </w:rPr>
              <w:t>（4）</w:t>
            </w:r>
            <w:r>
              <w:rPr>
                <w:b/>
                <w:sz w:val="24"/>
                <w:szCs w:val="24"/>
              </w:rPr>
              <w:t>环境质量现状评价结论</w:t>
            </w:r>
            <w:bookmarkEnd w:id="10"/>
          </w:p>
          <w:p>
            <w:pPr>
              <w:spacing w:line="440" w:lineRule="exact"/>
              <w:ind w:firstLine="480" w:firstLineChars="200"/>
              <w:rPr>
                <w:kern w:val="0"/>
                <w:sz w:val="24"/>
              </w:rPr>
            </w:pPr>
            <w:bookmarkStart w:id="11" w:name="_Toc141089198"/>
            <w:r>
              <w:rPr>
                <w:rFonts w:hint="eastAsia"/>
                <w:kern w:val="0"/>
                <w:sz w:val="24"/>
              </w:rPr>
              <w:t>2014年，南京市建成区环境空气质量达到二级标准的天数为190天，全年各项污染物监测指标如下：PM2.5年均值为73.8ug/m3，超标1.11倍，同比下降5.38%；PM10年均值为123ug/m3，超标0.76倍，同比下降10.2%；SO2年均值25ug/m3，达标，同比下降32.4%；NO2年均值为54ug/m3，超标0.35倍，同比下降1.8%</w:t>
            </w:r>
            <w:r>
              <w:rPr>
                <w:rFonts w:hint="eastAsia"/>
                <w:sz w:val="24"/>
                <w:szCs w:val="24"/>
              </w:rPr>
              <w:t>。</w:t>
            </w:r>
          </w:p>
          <w:p>
            <w:pPr>
              <w:spacing w:line="440" w:lineRule="exact"/>
              <w:ind w:firstLine="480" w:firstLineChars="200"/>
              <w:rPr>
                <w:kern w:val="0"/>
                <w:sz w:val="24"/>
              </w:rPr>
            </w:pPr>
            <w:r>
              <w:rPr>
                <w:rFonts w:hint="eastAsia"/>
                <w:kern w:val="0"/>
                <w:sz w:val="24"/>
              </w:rPr>
              <w:t>南京长江段水质与上年基本持平，除总磷超标0.43倍以外，其他指标均达到</w:t>
            </w:r>
            <w:r>
              <w:rPr>
                <w:kern w:val="0"/>
                <w:sz w:val="24"/>
              </w:rPr>
              <w:fldChar w:fldCharType="begin"/>
            </w:r>
            <w:r>
              <w:rPr>
                <w:kern w:val="0"/>
                <w:sz w:val="24"/>
              </w:rPr>
              <w:instrText xml:space="preserve"> </w:instrText>
            </w:r>
            <w:r>
              <w:rPr>
                <w:rFonts w:hint="eastAsia"/>
                <w:kern w:val="0"/>
                <w:sz w:val="24"/>
              </w:rPr>
              <w:instrText xml:space="preserve">= 2 \* ROMAN</w:instrText>
            </w:r>
            <w:r>
              <w:rPr>
                <w:kern w:val="0"/>
                <w:sz w:val="24"/>
              </w:rPr>
              <w:instrText xml:space="preserve"> </w:instrText>
            </w:r>
            <w:r>
              <w:rPr>
                <w:kern w:val="0"/>
                <w:sz w:val="24"/>
              </w:rPr>
              <w:fldChar w:fldCharType="separate"/>
            </w:r>
            <w:r>
              <w:rPr>
                <w:kern w:val="0"/>
                <w:sz w:val="24"/>
                <w:lang w:val="zh-CN" w:eastAsia="zh-CN"/>
              </w:rPr>
              <w:t>II</w:t>
            </w:r>
            <w:r>
              <w:rPr>
                <w:kern w:val="0"/>
                <w:sz w:val="24"/>
              </w:rPr>
              <w:fldChar w:fldCharType="end"/>
            </w:r>
            <w:r>
              <w:rPr>
                <w:rFonts w:hint="eastAsia"/>
                <w:kern w:val="0"/>
                <w:sz w:val="24"/>
              </w:rPr>
              <w:t>类水质标准，兴武沟水质可达到《地表水环境质量标准》（GB3838-2002）中的Ⅴ类水质标准。</w:t>
            </w:r>
          </w:p>
          <w:p>
            <w:pPr>
              <w:spacing w:line="440" w:lineRule="exact"/>
              <w:ind w:firstLine="480" w:firstLineChars="200"/>
              <w:rPr>
                <w:kern w:val="0"/>
                <w:sz w:val="24"/>
              </w:rPr>
            </w:pPr>
            <w:r>
              <w:rPr>
                <w:rFonts w:hint="eastAsia"/>
                <w:kern w:val="0"/>
                <w:sz w:val="24"/>
              </w:rPr>
              <w:t>根据《2014年南京环境质量公报》：</w:t>
            </w:r>
            <w:r>
              <w:rPr>
                <w:kern w:val="0"/>
                <w:sz w:val="24"/>
              </w:rPr>
              <w:t>城区区域环境噪声均值为5</w:t>
            </w:r>
            <w:r>
              <w:rPr>
                <w:rFonts w:hint="eastAsia"/>
                <w:kern w:val="0"/>
                <w:sz w:val="24"/>
              </w:rPr>
              <w:t>3.8</w:t>
            </w:r>
            <w:r>
              <w:rPr>
                <w:kern w:val="0"/>
                <w:sz w:val="24"/>
              </w:rPr>
              <w:t>分贝，同比下降</w:t>
            </w:r>
            <w:r>
              <w:rPr>
                <w:rFonts w:hint="eastAsia"/>
                <w:kern w:val="0"/>
                <w:sz w:val="24"/>
              </w:rPr>
              <w:t>0.9</w:t>
            </w:r>
            <w:r>
              <w:rPr>
                <w:kern w:val="0"/>
                <w:sz w:val="24"/>
              </w:rPr>
              <w:t>分贝</w:t>
            </w:r>
            <w:r>
              <w:rPr>
                <w:rFonts w:hint="eastAsia"/>
                <w:kern w:val="0"/>
                <w:sz w:val="24"/>
              </w:rPr>
              <w:t>。项目所在地声环境质量较好。</w:t>
            </w:r>
          </w:p>
          <w:p>
            <w:pPr>
              <w:spacing w:line="440" w:lineRule="exact"/>
              <w:ind w:firstLine="482" w:firstLineChars="200"/>
              <w:rPr>
                <w:b/>
                <w:sz w:val="24"/>
                <w:szCs w:val="24"/>
              </w:rPr>
            </w:pPr>
            <w:r>
              <w:rPr>
                <w:rFonts w:hint="eastAsia"/>
                <w:b/>
                <w:sz w:val="24"/>
                <w:szCs w:val="24"/>
              </w:rPr>
              <w:t>（</w:t>
            </w:r>
            <w:r>
              <w:rPr>
                <w:b/>
                <w:sz w:val="24"/>
                <w:szCs w:val="24"/>
              </w:rPr>
              <w:t>5）污染防治措施可行性、污染物达标排放可行性结论</w:t>
            </w:r>
            <w:bookmarkEnd w:id="11"/>
            <w:r>
              <w:rPr>
                <w:b/>
                <w:sz w:val="24"/>
                <w:szCs w:val="24"/>
              </w:rPr>
              <w:t>、项目建成后对环境的影响</w:t>
            </w:r>
          </w:p>
          <w:p>
            <w:pPr>
              <w:pStyle w:val="6"/>
              <w:widowControl/>
              <w:spacing w:line="360" w:lineRule="auto"/>
              <w:ind w:firstLine="480" w:firstLineChars="200"/>
              <w:rPr>
                <w:sz w:val="24"/>
                <w:szCs w:val="24"/>
              </w:rPr>
            </w:pPr>
            <w:r>
              <w:rPr>
                <w:sz w:val="24"/>
              </w:rPr>
              <w:t>本</w:t>
            </w:r>
            <w:r>
              <w:rPr>
                <w:kern w:val="0"/>
                <w:sz w:val="24"/>
              </w:rPr>
              <w:t>项目</w:t>
            </w:r>
            <w:r>
              <w:rPr>
                <w:rFonts w:hint="eastAsia"/>
                <w:kern w:val="0"/>
                <w:sz w:val="24"/>
              </w:rPr>
              <w:t>生活污水</w:t>
            </w:r>
            <w:r>
              <w:rPr>
                <w:rFonts w:hint="eastAsia"/>
                <w:sz w:val="24"/>
              </w:rPr>
              <w:t>1080m</w:t>
            </w:r>
            <w:r>
              <w:rPr>
                <w:rFonts w:hint="eastAsia"/>
                <w:sz w:val="24"/>
                <w:vertAlign w:val="superscript"/>
              </w:rPr>
              <w:t>3</w:t>
            </w:r>
            <w:r>
              <w:rPr>
                <w:rFonts w:hint="eastAsia"/>
                <w:sz w:val="24"/>
              </w:rPr>
              <w:t>/a，经化粪池处理，达到</w:t>
            </w:r>
            <w:r>
              <w:rPr>
                <w:sz w:val="24"/>
              </w:rPr>
              <w:t>《污水综</w:t>
            </w:r>
            <w:r>
              <w:rPr>
                <w:sz w:val="24"/>
                <w:szCs w:val="24"/>
              </w:rPr>
              <w:t>合排放标准》（GB8978-1996）表4三级标准后排入</w:t>
            </w:r>
            <w:r>
              <w:rPr>
                <w:rFonts w:hint="eastAsia"/>
                <w:sz w:val="24"/>
                <w:szCs w:val="24"/>
              </w:rPr>
              <w:t>开发区污水处理厂</w:t>
            </w:r>
            <w:r>
              <w:rPr>
                <w:sz w:val="24"/>
                <w:szCs w:val="24"/>
              </w:rPr>
              <w:t>进行处理，处理达</w:t>
            </w:r>
            <w:r>
              <w:rPr>
                <w:rFonts w:hint="eastAsia"/>
                <w:sz w:val="24"/>
                <w:szCs w:val="24"/>
              </w:rPr>
              <w:t>《污水综合排放标准》（GB8978-1996）表4中一级标准排入兴武沟</w:t>
            </w:r>
            <w:r>
              <w:rPr>
                <w:sz w:val="24"/>
                <w:szCs w:val="24"/>
              </w:rPr>
              <w:t>。</w:t>
            </w:r>
          </w:p>
          <w:p>
            <w:pPr>
              <w:pStyle w:val="6"/>
              <w:widowControl/>
              <w:spacing w:line="360" w:lineRule="auto"/>
              <w:ind w:firstLine="480" w:firstLineChars="200"/>
              <w:rPr>
                <w:sz w:val="24"/>
              </w:rPr>
            </w:pPr>
            <w:r>
              <w:rPr>
                <w:rFonts w:hint="eastAsia"/>
                <w:sz w:val="24"/>
              </w:rPr>
              <w:t>本项目主要高噪声设备有运输车辆、水泵、变压器、空调</w:t>
            </w:r>
            <w:r>
              <w:rPr>
                <w:sz w:val="24"/>
              </w:rPr>
              <w:t>等</w:t>
            </w:r>
            <w:r>
              <w:rPr>
                <w:rFonts w:hint="eastAsia"/>
                <w:sz w:val="24"/>
              </w:rPr>
              <w:t>，</w:t>
            </w:r>
            <w:r>
              <w:rPr>
                <w:sz w:val="24"/>
              </w:rPr>
              <w:t>通过</w:t>
            </w:r>
            <w:r>
              <w:rPr>
                <w:rFonts w:hint="eastAsia"/>
                <w:sz w:val="24"/>
              </w:rPr>
              <w:t>厂区内车辆限制鸣笛，并限制噪声超标车辆驶入，水泵、变压器、空调等</w:t>
            </w:r>
            <w:r>
              <w:rPr>
                <w:sz w:val="24"/>
              </w:rPr>
              <w:t>选用低噪声的设备、加装减震垫</w:t>
            </w:r>
            <w:r>
              <w:rPr>
                <w:rFonts w:hint="eastAsia"/>
                <w:sz w:val="24"/>
              </w:rPr>
              <w:t>、排风口消音措施</w:t>
            </w:r>
            <w:r>
              <w:rPr>
                <w:sz w:val="24"/>
              </w:rPr>
              <w:t>；充分利用距离衰减；在厂区设置绿化带，降低高噪声设备对厂界环境的影响，通过采取上述治理措施后，可确保厂界达到噪声排放达到《工业企业厂界环境噪声排放标准》（GB12348-2008）</w:t>
            </w:r>
            <w:r>
              <w:rPr>
                <w:rFonts w:hint="eastAsia"/>
                <w:sz w:val="24"/>
              </w:rPr>
              <w:t>中3类</w:t>
            </w:r>
            <w:r>
              <w:rPr>
                <w:sz w:val="24"/>
              </w:rPr>
              <w:t>标准要求，对周围环境</w:t>
            </w:r>
            <w:r>
              <w:rPr>
                <w:rFonts w:hint="eastAsia"/>
                <w:sz w:val="24"/>
              </w:rPr>
              <w:t>影响较小。</w:t>
            </w:r>
          </w:p>
          <w:p>
            <w:pPr>
              <w:pStyle w:val="6"/>
              <w:widowControl/>
              <w:spacing w:line="360" w:lineRule="auto"/>
              <w:ind w:firstLine="480" w:firstLineChars="200"/>
              <w:rPr>
                <w:sz w:val="24"/>
              </w:rPr>
            </w:pPr>
            <w:r>
              <w:rPr>
                <w:rFonts w:hint="eastAsia"/>
                <w:sz w:val="24"/>
              </w:rPr>
              <w:t>本项目产生的固体废物主要有生活垃圾。本项目生活垃圾交由环卫部门统一处理。</w:t>
            </w:r>
            <w:r>
              <w:rPr>
                <w:sz w:val="24"/>
              </w:rPr>
              <w:t>故本项目</w:t>
            </w:r>
            <w:r>
              <w:rPr>
                <w:rFonts w:hint="eastAsia"/>
                <w:sz w:val="24"/>
              </w:rPr>
              <w:t>建成后全厂</w:t>
            </w:r>
            <w:r>
              <w:rPr>
                <w:sz w:val="24"/>
              </w:rPr>
              <w:t>产生的固体废物均得到有效处置，没有固体废物外排。不会对环境产生</w:t>
            </w:r>
            <w:r>
              <w:rPr>
                <w:rFonts w:hint="eastAsia"/>
                <w:sz w:val="24"/>
              </w:rPr>
              <w:t>明显</w:t>
            </w:r>
            <w:r>
              <w:rPr>
                <w:sz w:val="24"/>
              </w:rPr>
              <w:t>影响。</w:t>
            </w:r>
          </w:p>
          <w:p>
            <w:pPr>
              <w:widowControl/>
              <w:spacing w:line="360" w:lineRule="auto"/>
              <w:ind w:firstLine="482" w:firstLineChars="200"/>
              <w:rPr>
                <w:b/>
                <w:sz w:val="24"/>
                <w:szCs w:val="24"/>
              </w:rPr>
            </w:pPr>
            <w:r>
              <w:rPr>
                <w:rFonts w:hint="eastAsia"/>
                <w:b/>
                <w:sz w:val="24"/>
                <w:szCs w:val="24"/>
              </w:rPr>
              <w:t xml:space="preserve">   </w:t>
            </w:r>
            <w:bookmarkStart w:id="12" w:name="_Toc141089200"/>
            <w:r>
              <w:rPr>
                <w:rFonts w:hint="eastAsia"/>
                <w:b/>
                <w:sz w:val="24"/>
                <w:szCs w:val="24"/>
              </w:rPr>
              <w:t>（6</w:t>
            </w:r>
            <w:r>
              <w:rPr>
                <w:b/>
                <w:sz w:val="24"/>
                <w:szCs w:val="24"/>
              </w:rPr>
              <w:t>）总量控制</w:t>
            </w:r>
            <w:bookmarkEnd w:id="12"/>
          </w:p>
          <w:p>
            <w:pPr>
              <w:pStyle w:val="6"/>
              <w:widowControl/>
              <w:spacing w:line="360" w:lineRule="auto"/>
              <w:ind w:firstLine="480" w:firstLineChars="200"/>
              <w:rPr>
                <w:rFonts w:hint="eastAsia"/>
                <w:sz w:val="24"/>
              </w:rPr>
            </w:pPr>
            <w:bookmarkStart w:id="13" w:name="_Toc141089201"/>
            <w:r>
              <w:rPr>
                <w:rFonts w:hint="eastAsia"/>
                <w:sz w:val="24"/>
              </w:rPr>
              <w:t>（1）</w:t>
            </w:r>
            <w:r>
              <w:rPr>
                <w:rFonts w:hint="eastAsia"/>
                <w:sz w:val="24"/>
                <w:lang w:val="en-US" w:eastAsia="zh-CN"/>
              </w:rPr>
              <w:t>项目废水接管考核量为:废水量1080t/a、</w:t>
            </w:r>
            <w:r>
              <w:rPr>
                <w:rFonts w:hint="eastAsia"/>
                <w:sz w:val="24"/>
              </w:rPr>
              <w:t>COD0.33t/a、SS0.3t/a、氨氮0.03t/a、总磷0.0048t/a。</w:t>
            </w:r>
          </w:p>
          <w:p>
            <w:pPr>
              <w:pStyle w:val="6"/>
              <w:widowControl/>
              <w:spacing w:line="360" w:lineRule="auto"/>
              <w:ind w:firstLine="480" w:firstLineChars="200"/>
              <w:rPr>
                <w:rFonts w:hint="eastAsia"/>
                <w:sz w:val="24"/>
              </w:rPr>
            </w:pPr>
            <w:r>
              <w:rPr>
                <w:rFonts w:hint="eastAsia"/>
                <w:sz w:val="24"/>
                <w:lang w:val="en-US" w:eastAsia="zh-CN"/>
              </w:rPr>
              <w:t>经</w:t>
            </w:r>
            <w:r>
              <w:rPr>
                <w:rFonts w:hint="eastAsia"/>
                <w:sz w:val="24"/>
              </w:rPr>
              <w:t>开发区污水处理厂</w:t>
            </w:r>
            <w:r>
              <w:rPr>
                <w:rFonts w:hint="eastAsia"/>
                <w:sz w:val="24"/>
                <w:lang w:val="en-US" w:eastAsia="zh-CN"/>
              </w:rPr>
              <w:t>处理后</w:t>
            </w:r>
            <w:r>
              <w:rPr>
                <w:rFonts w:hint="eastAsia"/>
                <w:sz w:val="24"/>
              </w:rPr>
              <w:t>的水污染物最终排放量为：废水量1080t/a、COD0.</w:t>
            </w:r>
            <w:r>
              <w:rPr>
                <w:rFonts w:hint="eastAsia"/>
                <w:sz w:val="24"/>
                <w:lang w:val="en-US" w:eastAsia="zh-CN"/>
              </w:rPr>
              <w:t>11</w:t>
            </w:r>
            <w:r>
              <w:rPr>
                <w:rFonts w:hint="eastAsia"/>
                <w:sz w:val="24"/>
              </w:rPr>
              <w:t>t/a、SS0.</w:t>
            </w:r>
            <w:r>
              <w:rPr>
                <w:rFonts w:hint="eastAsia"/>
                <w:sz w:val="24"/>
                <w:lang w:val="en-US" w:eastAsia="zh-CN"/>
              </w:rPr>
              <w:t>105</w:t>
            </w:r>
            <w:r>
              <w:rPr>
                <w:rFonts w:hint="eastAsia"/>
                <w:sz w:val="24"/>
              </w:rPr>
              <w:t>t/a、氨氮0.0</w:t>
            </w:r>
            <w:r>
              <w:rPr>
                <w:rFonts w:hint="eastAsia"/>
                <w:sz w:val="24"/>
                <w:lang w:val="en-US" w:eastAsia="zh-CN"/>
              </w:rPr>
              <w:t>18</w:t>
            </w:r>
            <w:r>
              <w:rPr>
                <w:rFonts w:hint="eastAsia"/>
                <w:sz w:val="24"/>
              </w:rPr>
              <w:t>t/a、总磷0.00</w:t>
            </w:r>
            <w:r>
              <w:rPr>
                <w:rFonts w:hint="eastAsia"/>
                <w:sz w:val="24"/>
                <w:lang w:val="en-US" w:eastAsia="zh-CN"/>
              </w:rPr>
              <w:t>06</w:t>
            </w:r>
            <w:r>
              <w:rPr>
                <w:rFonts w:hint="eastAsia"/>
                <w:sz w:val="24"/>
              </w:rPr>
              <w:t>t/a。</w:t>
            </w:r>
          </w:p>
          <w:p>
            <w:pPr>
              <w:pStyle w:val="6"/>
              <w:widowControl/>
              <w:spacing w:line="360" w:lineRule="auto"/>
              <w:ind w:firstLine="480" w:firstLineChars="200"/>
              <w:rPr>
                <w:rFonts w:hint="eastAsia"/>
                <w:sz w:val="24"/>
              </w:rPr>
            </w:pPr>
            <w:r>
              <w:rPr>
                <w:rFonts w:hint="eastAsia"/>
                <w:sz w:val="24"/>
              </w:rPr>
              <w:t>（2）大气污染物：0。</w:t>
            </w:r>
          </w:p>
          <w:p>
            <w:pPr>
              <w:pStyle w:val="6"/>
              <w:widowControl/>
              <w:spacing w:line="360" w:lineRule="auto"/>
              <w:ind w:firstLine="480" w:firstLineChars="200"/>
              <w:rPr>
                <w:rFonts w:hint="eastAsia"/>
                <w:sz w:val="24"/>
              </w:rPr>
            </w:pPr>
            <w:r>
              <w:rPr>
                <w:rFonts w:hint="eastAsia"/>
                <w:sz w:val="24"/>
              </w:rPr>
              <w:t>（3）固废：固体废物排放量为0，不申请总量排放指标。</w:t>
            </w:r>
          </w:p>
          <w:p>
            <w:pPr>
              <w:spacing w:line="440" w:lineRule="exact"/>
              <w:ind w:firstLine="482" w:firstLineChars="200"/>
              <w:rPr>
                <w:b/>
                <w:sz w:val="24"/>
                <w:szCs w:val="24"/>
              </w:rPr>
            </w:pPr>
            <w:r>
              <w:rPr>
                <w:rFonts w:hint="eastAsia"/>
                <w:b/>
                <w:sz w:val="24"/>
                <w:szCs w:val="24"/>
              </w:rPr>
              <w:t>（7</w:t>
            </w:r>
            <w:r>
              <w:rPr>
                <w:b/>
                <w:sz w:val="24"/>
                <w:szCs w:val="24"/>
              </w:rPr>
              <w:t>）结论</w:t>
            </w:r>
            <w:bookmarkEnd w:id="13"/>
          </w:p>
          <w:p>
            <w:pPr>
              <w:spacing w:line="440" w:lineRule="exact"/>
              <w:ind w:firstLine="482" w:firstLineChars="200"/>
              <w:rPr>
                <w:rFonts w:ascii="宋体" w:hAnsi="宋体"/>
                <w:b/>
                <w:sz w:val="24"/>
              </w:rPr>
            </w:pPr>
            <w:r>
              <w:rPr>
                <w:rFonts w:hint="eastAsia" w:ascii="宋体" w:hAnsi="宋体"/>
                <w:b/>
                <w:sz w:val="24"/>
              </w:rPr>
              <w:t>民聚德仓库建设项目</w:t>
            </w:r>
            <w:r>
              <w:rPr>
                <w:rFonts w:ascii="宋体" w:hAnsi="宋体"/>
                <w:b/>
                <w:sz w:val="24"/>
              </w:rPr>
              <w:t>用符合产业政策，</w:t>
            </w:r>
            <w:r>
              <w:rPr>
                <w:rFonts w:hint="eastAsia" w:ascii="宋体" w:hAnsi="宋体"/>
                <w:b/>
                <w:sz w:val="24"/>
              </w:rPr>
              <w:t>具有较高的清洁生产水平，</w:t>
            </w:r>
            <w:r>
              <w:rPr>
                <w:rFonts w:ascii="宋体" w:hAnsi="宋体"/>
                <w:b/>
                <w:sz w:val="24"/>
              </w:rPr>
              <w:t>采取各类污染防治措施可行，各类污染物</w:t>
            </w:r>
            <w:r>
              <w:rPr>
                <w:rFonts w:hint="eastAsia" w:ascii="宋体" w:hAnsi="宋体"/>
                <w:b/>
                <w:sz w:val="24"/>
              </w:rPr>
              <w:t>经采取拟定的防治措施后</w:t>
            </w:r>
            <w:r>
              <w:rPr>
                <w:rFonts w:ascii="宋体" w:hAnsi="宋体"/>
                <w:b/>
                <w:sz w:val="24"/>
              </w:rPr>
              <w:t>可达标排放。为此，项目方在切实认真落实本报告提出的各项对策要求的前提下，并确保各类污染防治措施正常运行，项目外排放污染物对周围环境的影响可控制在较小的范围之内。</w:t>
            </w:r>
            <w:r>
              <w:rPr>
                <w:rFonts w:hint="eastAsia" w:ascii="宋体" w:hAnsi="宋体"/>
                <w:b/>
                <w:sz w:val="24"/>
              </w:rPr>
              <w:t>本评价认为，在项目厂区用地规划进行调整的基础上，</w:t>
            </w:r>
            <w:r>
              <w:rPr>
                <w:rFonts w:ascii="宋体" w:hAnsi="宋体"/>
                <w:b/>
                <w:sz w:val="24"/>
              </w:rPr>
              <w:t>为此从环保角度分析，本项目</w:t>
            </w:r>
            <w:r>
              <w:rPr>
                <w:rFonts w:hint="eastAsia" w:ascii="宋体" w:hAnsi="宋体"/>
                <w:b/>
                <w:sz w:val="24"/>
              </w:rPr>
              <w:t>在拟建地建设</w:t>
            </w:r>
            <w:r>
              <w:rPr>
                <w:rFonts w:ascii="宋体" w:hAnsi="宋体"/>
                <w:b/>
                <w:sz w:val="24"/>
              </w:rPr>
              <w:t>可行。</w:t>
            </w:r>
          </w:p>
          <w:p>
            <w:pPr>
              <w:spacing w:line="440" w:lineRule="exact"/>
              <w:ind w:firstLine="482" w:firstLineChars="200"/>
              <w:rPr>
                <w:b/>
                <w:sz w:val="24"/>
                <w:szCs w:val="24"/>
              </w:rPr>
            </w:pPr>
            <w:bookmarkStart w:id="14" w:name="_Toc141089202"/>
            <w:r>
              <w:rPr>
                <w:b/>
                <w:sz w:val="24"/>
                <w:szCs w:val="24"/>
              </w:rPr>
              <w:t>2、建议与要求</w:t>
            </w:r>
            <w:bookmarkEnd w:id="14"/>
          </w:p>
          <w:p>
            <w:pPr>
              <w:spacing w:line="440" w:lineRule="exact"/>
              <w:ind w:firstLine="480" w:firstLineChars="200"/>
              <w:rPr>
                <w:sz w:val="24"/>
              </w:rPr>
            </w:pPr>
            <w:r>
              <w:rPr>
                <w:sz w:val="24"/>
              </w:rPr>
              <w:t>1）</w:t>
            </w:r>
            <w:r>
              <w:rPr>
                <w:rFonts w:hint="eastAsia"/>
                <w:sz w:val="24"/>
              </w:rPr>
              <w:t>本环评表评估结论是根据厂家提供资料的基础上分析得到。若建设规模扩大、设备变化、总平面布置发生较大变化等，应报请环保部门重新编制环境评价报告；若项目涉及电磁辐射需另行环评。</w:t>
            </w:r>
          </w:p>
          <w:p>
            <w:pPr>
              <w:spacing w:line="440" w:lineRule="exact"/>
              <w:ind w:firstLine="480" w:firstLineChars="200"/>
              <w:rPr>
                <w:sz w:val="24"/>
              </w:rPr>
            </w:pPr>
            <w:r>
              <w:rPr>
                <w:sz w:val="24"/>
              </w:rPr>
              <w:t>2）</w:t>
            </w:r>
            <w:r>
              <w:rPr>
                <w:rFonts w:hint="eastAsia"/>
                <w:sz w:val="24"/>
              </w:rPr>
              <w:t>本项目涉及的消防、安全及卫生问题，不属于本项目环境影响评价范围，请公司按国家有关法律、法规和相关标准执行。</w:t>
            </w:r>
          </w:p>
          <w:p>
            <w:pPr>
              <w:spacing w:line="440" w:lineRule="exact"/>
              <w:ind w:firstLine="480" w:firstLineChars="200"/>
              <w:rPr>
                <w:sz w:val="24"/>
              </w:rPr>
            </w:pPr>
            <w:r>
              <w:rPr>
                <w:sz w:val="24"/>
              </w:rPr>
              <w:t>3）</w:t>
            </w:r>
            <w:r>
              <w:rPr>
                <w:rFonts w:hint="eastAsia"/>
                <w:sz w:val="24"/>
                <w:szCs w:val="24"/>
              </w:rPr>
              <w:t>关心并积极听取周边居民等人员、单位的反映，定期向项目最高管理者和当地环保部门汇报项目环境保护工作的情况，同时接受当地环境保护部门的监督和管理。遵守有关环境法律、法规，树立良好的企业形象，实现经济效益与社会效益、环境效益相统一。</w:t>
            </w:r>
          </w:p>
          <w:p>
            <w:pPr>
              <w:spacing w:line="440" w:lineRule="exact"/>
              <w:ind w:firstLine="480" w:firstLineChars="200"/>
              <w:rPr>
                <w:sz w:val="24"/>
              </w:rPr>
            </w:pPr>
            <w:r>
              <w:rPr>
                <w:sz w:val="24"/>
              </w:rPr>
              <w:t>4）加强本项目的环境管理和环境监测。设专职环境管理人员，按本报告表中的要求认真落实环境监测计划；各排污口的设置和管理应按《江苏省排污口设置及规范化整治管理办法》的有关规定执行。</w:t>
            </w:r>
          </w:p>
          <w:p>
            <w:pPr>
              <w:spacing w:line="440" w:lineRule="exact"/>
              <w:ind w:firstLine="480" w:firstLineChars="200"/>
              <w:rPr>
                <w:sz w:val="24"/>
              </w:rPr>
            </w:pPr>
            <w:r>
              <w:rPr>
                <w:sz w:val="24"/>
              </w:rPr>
              <w:t>5）加强全厂职工的安全生产和环境保护知识的教育。配备必要的环境管理专职人员，落实、检查环保设施的运行状况，配合当地环保部门做好本厂的环境管理、验收、监督和检查工作。</w:t>
            </w:r>
          </w:p>
          <w:p>
            <w:pPr>
              <w:adjustRightInd w:val="0"/>
              <w:snapToGrid w:val="0"/>
              <w:spacing w:line="360" w:lineRule="auto"/>
              <w:ind w:firstLine="480" w:firstLineChars="200"/>
              <w:jc w:val="left"/>
              <w:rPr>
                <w:sz w:val="24"/>
              </w:rPr>
            </w:pPr>
            <w:r>
              <w:rPr>
                <w:sz w:val="24"/>
              </w:rPr>
              <w:t>6）</w:t>
            </w:r>
            <w:r>
              <w:rPr>
                <w:rFonts w:hint="eastAsia"/>
                <w:sz w:val="24"/>
              </w:rPr>
              <w:t>加强环保设施管理，提高各环节操作的规范性，以保证环保设施的正常运营，从而减少污染物的产生量；</w:t>
            </w:r>
          </w:p>
          <w:p>
            <w:pPr>
              <w:spacing w:line="440" w:lineRule="exact"/>
              <w:ind w:firstLine="480" w:firstLineChars="200"/>
              <w:rPr>
                <w:rFonts w:hint="eastAsia"/>
                <w:sz w:val="24"/>
                <w:szCs w:val="24"/>
              </w:rPr>
            </w:pPr>
            <w:r>
              <w:rPr>
                <w:sz w:val="24"/>
              </w:rPr>
              <w:t>7）</w:t>
            </w:r>
            <w:r>
              <w:rPr>
                <w:rFonts w:hint="eastAsia"/>
                <w:sz w:val="24"/>
              </w:rPr>
              <w:t>建设单位必须严格执行“三同时”，切实做到环保治理设施与主体工程同时设计、同时施工、同时投产使用。</w:t>
            </w:r>
          </w:p>
        </w:tc>
      </w:tr>
    </w:tbl>
    <w:p>
      <w:pPr>
        <w:rPr>
          <w:sz w:val="10"/>
          <w:szCs w:val="10"/>
        </w:rPr>
      </w:pPr>
      <w:r>
        <w:br w:type="page"/>
      </w:r>
    </w:p>
    <w:tbl>
      <w:tblPr>
        <w:tblStyle w:val="34"/>
        <w:tblW w:w="924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5" w:hRule="atLeast"/>
        </w:trPr>
        <w:tc>
          <w:tcPr>
            <w:tcW w:w="9240" w:type="dxa"/>
            <w:vAlign w:val="top"/>
          </w:tcPr>
          <w:p>
            <w:pPr>
              <w:rPr>
                <w:szCs w:val="28"/>
              </w:rPr>
            </w:pPr>
            <w:r>
              <w:rPr>
                <w:szCs w:val="28"/>
              </w:rPr>
              <w:t>预审意见：</w:t>
            </w: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r>
              <w:rPr>
                <w:szCs w:val="28"/>
              </w:rPr>
              <w:t xml:space="preserve">                                                   公     章</w:t>
            </w:r>
          </w:p>
          <w:p>
            <w:pPr>
              <w:rPr>
                <w:szCs w:val="28"/>
              </w:rPr>
            </w:pPr>
            <w:r>
              <w:rPr>
                <w:szCs w:val="28"/>
              </w:rPr>
              <w:t xml:space="preserve"> 经办人：                                       年    月    日</w:t>
            </w:r>
          </w:p>
          <w:p>
            <w:pP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2" w:hRule="atLeast"/>
        </w:trPr>
        <w:tc>
          <w:tcPr>
            <w:tcW w:w="9240" w:type="dxa"/>
            <w:vAlign w:val="top"/>
          </w:tcPr>
          <w:p>
            <w:pPr>
              <w:rPr>
                <w:szCs w:val="28"/>
              </w:rPr>
            </w:pPr>
            <w:r>
              <w:rPr>
                <w:szCs w:val="28"/>
              </w:rPr>
              <w:t>下一级环境保护行政主管部门审查意见：</w:t>
            </w: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r>
              <w:rPr>
                <w:szCs w:val="28"/>
              </w:rPr>
              <w:t xml:space="preserve">                                                 公     章</w:t>
            </w:r>
          </w:p>
          <w:p>
            <w:pPr>
              <w:rPr>
                <w:szCs w:val="28"/>
              </w:rPr>
            </w:pPr>
            <w:r>
              <w:rPr>
                <w:szCs w:val="28"/>
              </w:rPr>
              <w:t xml:space="preserve"> 经办人：                                      年    月    日</w:t>
            </w:r>
          </w:p>
          <w:p>
            <w:pPr>
              <w:tabs>
                <w:tab w:val="left" w:pos="7225"/>
              </w:tabs>
              <w:rPr>
                <w:szCs w:val="28"/>
              </w:rPr>
            </w:pPr>
          </w:p>
        </w:tc>
      </w:tr>
    </w:tbl>
    <w:p>
      <w:pPr>
        <w:rPr>
          <w:sz w:val="24"/>
          <w:szCs w:val="24"/>
        </w:rPr>
      </w:pPr>
    </w:p>
    <w:tbl>
      <w:tblPr>
        <w:tblStyle w:val="3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7" w:type="dxa"/>
            <w:vAlign w:val="top"/>
          </w:tcPr>
          <w:p>
            <w:pPr>
              <w:rPr>
                <w:szCs w:val="28"/>
              </w:rPr>
            </w:pPr>
            <w:r>
              <w:rPr>
                <w:szCs w:val="28"/>
              </w:rPr>
              <w:t>审批意见：</w:t>
            </w: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r>
              <w:rPr>
                <w:szCs w:val="28"/>
              </w:rPr>
              <w:t xml:space="preserve">                                                  公     章</w:t>
            </w:r>
          </w:p>
          <w:p>
            <w:pPr>
              <w:rPr>
                <w:szCs w:val="28"/>
              </w:rPr>
            </w:pPr>
            <w:r>
              <w:rPr>
                <w:szCs w:val="28"/>
              </w:rPr>
              <w:t xml:space="preserve"> 经办人：                                     年    月    日</w:t>
            </w:r>
          </w:p>
          <w:p>
            <w:pPr>
              <w:rPr>
                <w:szCs w:val="28"/>
              </w:rPr>
            </w:pPr>
          </w:p>
        </w:tc>
      </w:tr>
    </w:tbl>
    <w:p>
      <w:pPr>
        <w:rPr>
          <w:sz w:val="24"/>
          <w:szCs w:val="24"/>
        </w:rPr>
      </w:pPr>
    </w:p>
    <w:sectPr>
      <w:pgSz w:w="11907" w:h="16840"/>
      <w:pgMar w:top="1418" w:right="1418" w:bottom="1418" w:left="1418" w:header="964" w:footer="720" w:gutter="0"/>
      <w:pgNumType w:fmt="decimal"/>
      <w:cols w:space="720" w:num="1"/>
      <w:titlePg/>
      <w:docGrid w:type="linesAndChars"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Rounded MT Bold">
    <w:altName w:val="Arial"/>
    <w:panose1 w:val="020F0704030504030204"/>
    <w:charset w:val="00"/>
    <w:family w:val="swiss"/>
    <w:pitch w:val="default"/>
    <w:sig w:usb0="00000003" w:usb1="00000000" w:usb2="00000000" w:usb3="00000000" w:csb0="20000001" w:csb1="00000000"/>
  </w:font>
  <w:font w:name="黑体">
    <w:panose1 w:val="02010609060101010101"/>
    <w:charset w:val="86"/>
    <w:family w:val="modern"/>
    <w:pitch w:val="default"/>
    <w:sig w:usb0="800002BF" w:usb1="38CF7CFA" w:usb2="00000016" w:usb3="00000000" w:csb0="00040001" w:csb1="00000000"/>
  </w:font>
  <w:font w:name="创艺简细圆">
    <w:altName w:val="黑体"/>
    <w:panose1 w:val="00000000000000000000"/>
    <w:charset w:val="86"/>
    <w:family w:val="auto"/>
    <w:pitch w:val="default"/>
    <w:sig w:usb0="00000001" w:usb1="080E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Arial Black">
    <w:panose1 w:val="020B0A04020102020204"/>
    <w:charset w:val="00"/>
    <w:family w:val="swiss"/>
    <w:pitch w:val="default"/>
    <w:sig w:usb0="00000287" w:usb1="00000000" w:usb2="00000000" w:usb3="00000000" w:csb0="2000009F" w:csb1="DFD70000"/>
  </w:font>
  <w:font w:name="楷体_GB2312">
    <w:altName w:val="楷体"/>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SymbolMT">
    <w:altName w:val="宋体"/>
    <w:panose1 w:val="00000000000000000000"/>
    <w:charset w:val="86"/>
    <w:family w:val="auto"/>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Bookman Old Style">
    <w:altName w:val="Georgia"/>
    <w:panose1 w:val="02050604050505020204"/>
    <w:charset w:val="00"/>
    <w:family w:val="modern"/>
    <w:pitch w:val="default"/>
    <w:sig w:usb0="00000000" w:usb1="00000000" w:usb2="00000000" w:usb3="00000000" w:csb0="0000009F" w:csb1="00000000"/>
  </w:font>
  <w:font w:name="Arial Unicode MS">
    <w:panose1 w:val="020B0604020202020204"/>
    <w:charset w:val="86"/>
    <w:family w:val="modern"/>
    <w:pitch w:val="default"/>
    <w:sig w:usb0="FFFFFFFF" w:usb1="E9FFFFFF" w:usb2="0000003F" w:usb3="00000000" w:csb0="603F01FF" w:csb1="FFFF0000"/>
  </w:font>
  <w:font w:name="楷体_GB2312">
    <w:altName w:val="楷体"/>
    <w:panose1 w:val="02010609030101010101"/>
    <w:charset w:val="86"/>
    <w:family w:val="swiss"/>
    <w:pitch w:val="default"/>
    <w:sig w:usb0="00000000" w:usb1="00000000" w:usb2="00000010" w:usb3="00000000" w:csb0="00040000" w:csb1="00000000"/>
  </w:font>
  <w:font w:name="仿宋体">
    <w:altName w:val="宋体"/>
    <w:panose1 w:val="02010600030101010101"/>
    <w:charset w:val="86"/>
    <w:family w:val="modern"/>
    <w:pitch w:val="default"/>
    <w:sig w:usb0="00000000" w:usb1="00000000" w:usb2="00000010" w:usb3="00000000" w:csb0="00040000" w:csb1="00000000"/>
  </w:font>
  <w:font w:name="Arial Black">
    <w:panose1 w:val="020B0A04020102020204"/>
    <w:charset w:val="00"/>
    <w:family w:val="decorative"/>
    <w:pitch w:val="default"/>
    <w:sig w:usb0="00000287" w:usb1="00000000" w:usb2="00000000" w:usb3="00000000" w:csb0="2000009F" w:csb1="DFD70000"/>
  </w:font>
  <w:font w:name="文鼎大标宋简">
    <w:altName w:val="宋体"/>
    <w:panose1 w:val="02010609010101010101"/>
    <w:charset w:val="86"/>
    <w:family w:val="swiss"/>
    <w:pitch w:val="default"/>
    <w:sig w:usb0="00000000" w:usb1="00000000" w:usb2="00000010" w:usb3="00000000" w:csb0="00040000"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80F3C52" w:usb2="00000016" w:usb3="00000000" w:csb0="0004001F" w:csb1="00000000"/>
  </w:font>
  <w:font w:name="Arial Rounded MT Bold">
    <w:altName w:val="Arial"/>
    <w:panose1 w:val="020F0704030504030204"/>
    <w:charset w:val="00"/>
    <w:family w:val="decorative"/>
    <w:pitch w:val="default"/>
    <w:sig w:usb0="00000000" w:usb1="00000000" w:usb2="00000000" w:usb3="00000000" w:csb0="20000001" w:csb1="00000000"/>
  </w:font>
  <w:font w:name="黑体">
    <w:panose1 w:val="02010609060101010101"/>
    <w:charset w:val="86"/>
    <w:family w:val="swiss"/>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Arial Unicode MS">
    <w:panose1 w:val="020B0604020202020204"/>
    <w:charset w:val="86"/>
    <w:family w:val="decorative"/>
    <w:pitch w:val="default"/>
    <w:sig w:usb0="FFFFFFFF" w:usb1="E9FFFFFF" w:usb2="0000003F" w:usb3="00000000" w:csb0="603F01FF" w:csb1="FFFF0000"/>
  </w:font>
  <w:font w:name="TimesNewRomanPSMT">
    <w:altName w:val="Times New Roman"/>
    <w:panose1 w:val="00000000000000000000"/>
    <w:charset w:val="00"/>
    <w:family w:val="modern"/>
    <w:pitch w:val="default"/>
    <w:sig w:usb0="00000000" w:usb1="00000000" w:usb2="00000000" w:usb3="00000000" w:csb0="0000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Bookman Old Style">
    <w:altName w:val="Georgia"/>
    <w:panose1 w:val="02050604050505020204"/>
    <w:charset w:val="00"/>
    <w:family w:val="swiss"/>
    <w:pitch w:val="default"/>
    <w:sig w:usb0="00000000" w:usb1="00000000" w:usb2="00000000" w:usb3="00000000" w:csb0="0000009F" w:csb1="00000000"/>
  </w:font>
  <w:font w:name="楷体_GB2312">
    <w:altName w:val="楷体"/>
    <w:panose1 w:val="02010609030101010101"/>
    <w:charset w:val="86"/>
    <w:family w:val="decorative"/>
    <w:pitch w:val="default"/>
    <w:sig w:usb0="00000000" w:usb1="00000000" w:usb2="00000010" w:usb3="00000000" w:csb0="00040000" w:csb1="00000000"/>
  </w:font>
  <w:font w:name="仿宋体">
    <w:altName w:val="宋体"/>
    <w:panose1 w:val="02010600030101010101"/>
    <w:charset w:val="86"/>
    <w:family w:val="swiss"/>
    <w:pitch w:val="default"/>
    <w:sig w:usb0="00000000" w:usb1="00000000" w:usb2="00000010" w:usb3="00000000" w:csb0="00040000" w:csb1="00000000"/>
  </w:font>
  <w:font w:name="Arial Black">
    <w:panose1 w:val="020B0A04020102020204"/>
    <w:charset w:val="00"/>
    <w:family w:val="roman"/>
    <w:pitch w:val="default"/>
    <w:sig w:usb0="00000287" w:usb1="00000000" w:usb2="00000000" w:usb3="00000000" w:csb0="2000009F" w:csb1="DFD70000"/>
  </w:font>
  <w:font w:name="文鼎大标宋简">
    <w:altName w:val="宋体"/>
    <w:panose1 w:val="02010609010101010101"/>
    <w:charset w:val="86"/>
    <w:family w:val="decorative"/>
    <w:pitch w:val="default"/>
    <w:sig w:usb0="00000000" w:usb1="00000000" w:usb2="00000010" w:usb3="00000000" w:csb0="00040000" w:csb1="00000000"/>
  </w:font>
  <w:font w:name="Arial Rounded MT Bold">
    <w:altName w:val="Arial"/>
    <w:panose1 w:val="020F0704030504030204"/>
    <w:charset w:val="00"/>
    <w:family w:val="roman"/>
    <w:pitch w:val="default"/>
    <w:sig w:usb0="00000000" w:usb1="00000000" w:usb2="00000000" w:usb3="00000000" w:csb0="20000001" w:csb1="00000000"/>
  </w:font>
  <w:font w:name="黑体">
    <w:panose1 w:val="02010609060101010101"/>
    <w:charset w:val="86"/>
    <w:family w:val="decorative"/>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00"/>
    <w:family w:val="swiss"/>
    <w:pitch w:val="default"/>
    <w:sig w:usb0="00000000" w:usb1="00000000" w:usb2="00000000" w:usb3="00000000" w:csb0="0000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10" w:usb3="00000000" w:csb0="00040000" w:csb1="00000000"/>
  </w:font>
  <w:font w:name="Bookman Old Style">
    <w:altName w:val="Georgia"/>
    <w:panose1 w:val="02050604050505020204"/>
    <w:charset w:val="00"/>
    <w:family w:val="decorative"/>
    <w:pitch w:val="default"/>
    <w:sig w:usb0="00000000" w:usb1="00000000" w:usb2="00000000" w:usb3="00000000" w:csb0="0000009F" w:csb1="00000000"/>
  </w:font>
  <w:font w:name="楷体_GB2312">
    <w:altName w:val="楷体"/>
    <w:panose1 w:val="02010609030101010101"/>
    <w:charset w:val="86"/>
    <w:family w:val="roman"/>
    <w:pitch w:val="default"/>
    <w:sig w:usb0="00000000" w:usb1="00000000" w:usb2="00000010" w:usb3="00000000" w:csb0="00040000" w:csb1="00000000"/>
  </w:font>
  <w:font w:name="仿宋体">
    <w:altName w:val="宋体"/>
    <w:panose1 w:val="02010600030101010101"/>
    <w:charset w:val="86"/>
    <w:family w:val="decorative"/>
    <w:pitch w:val="default"/>
    <w:sig w:usb0="00000000" w:usb1="00000000" w:usb2="00000010" w:usb3="00000000" w:csb0="00040000" w:csb1="00000000"/>
  </w:font>
  <w:font w:name="Arial Black">
    <w:panose1 w:val="020B0A04020102020204"/>
    <w:charset w:val="00"/>
    <w:family w:val="modern"/>
    <w:pitch w:val="default"/>
    <w:sig w:usb0="00000287" w:usb1="00000000" w:usb2="00000000" w:usb3="00000000" w:csb0="2000009F" w:csb1="DFD70000"/>
  </w:font>
  <w:font w:name="文鼎大标宋简">
    <w:altName w:val="宋体"/>
    <w:panose1 w:val="02010609010101010101"/>
    <w:charset w:val="86"/>
    <w:family w:val="roman"/>
    <w:pitch w:val="default"/>
    <w:sig w:usb0="00000000" w:usb1="00000000" w:usb2="00000010" w:usb3="00000000" w:csb0="00040000" w:csb1="00000000"/>
  </w:font>
  <w:font w:name="Arial Rounded MT Bold">
    <w:altName w:val="Arial"/>
    <w:panose1 w:val="020F0704030504030204"/>
    <w:charset w:val="00"/>
    <w:family w:val="modern"/>
    <w:pitch w:val="default"/>
    <w:sig w:usb0="00000000" w:usb1="00000000" w:usb2="00000000" w:usb3="00000000" w:csb0="20000001"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TimesNewRomanPSMT">
    <w:altName w:val="Times New Roman"/>
    <w:panose1 w:val="00000000000000000000"/>
    <w:charset w:val="00"/>
    <w:family w:val="decorative"/>
    <w:pitch w:val="default"/>
    <w:sig w:usb0="00000000" w:usb1="00000000" w:usb2="00000000" w:usb3="00000000" w:csb0="00000001" w:csb1="00000000"/>
  </w:font>
  <w:font w:name="Bookman Old Style">
    <w:altName w:val="Georgia"/>
    <w:panose1 w:val="02050604050505020204"/>
    <w:charset w:val="00"/>
    <w:family w:val="roman"/>
    <w:pitch w:val="default"/>
    <w:sig w:usb0="00000000" w:usb1="00000000" w:usb2="00000000" w:usb3="00000000" w:csb0="0000009F" w:csb1="00000000"/>
  </w:font>
  <w:font w:name="仿宋体">
    <w:altName w:val="宋体"/>
    <w:panose1 w:val="02010600030101010101"/>
    <w:charset w:val="86"/>
    <w:family w:val="roman"/>
    <w:pitch w:val="default"/>
    <w:sig w:usb0="00000000" w:usb1="00000000" w:usb2="00000010" w:usb3="00000000" w:csb0="00040000" w:csb1="00000000"/>
  </w:font>
  <w:font w:name="文鼎大标宋简">
    <w:altName w:val="宋体"/>
    <w:panose1 w:val="0201060901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2"/>
      <w:ind w:right="360"/>
      <w:jc w:val="center"/>
    </w:pPr>
    <w:r>
      <w:fldChar w:fldCharType="begin"/>
    </w:r>
    <w:r>
      <w:rPr>
        <w:rStyle w:val="30"/>
      </w:rPr>
      <w:instrText xml:space="preserve"> PAGE </w:instrText>
    </w:r>
    <w:r>
      <w:fldChar w:fldCharType="separate"/>
    </w:r>
    <w:r>
      <w:rPr>
        <w:rStyle w:val="30"/>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2"/>
      <w:framePr w:wrap="around" w:vAnchor="text" w:hAnchor="margin" w:xAlign="right" w:y="1"/>
      <w:rPr>
        <w:rStyle w:val="30"/>
      </w:rPr>
    </w:pPr>
    <w:r>
      <w:fldChar w:fldCharType="begin"/>
    </w:r>
    <w:r>
      <w:rPr>
        <w:rStyle w:val="30"/>
      </w:rPr>
      <w:instrText xml:space="preserve">PAGE  </w:instrText>
    </w:r>
    <w:r>
      <w:fldChar w:fldCharType="separate"/>
    </w:r>
    <w:r>
      <w:rPr>
        <w:rStyle w:val="30"/>
      </w:rPr>
      <w:t>2</w:t>
    </w:r>
    <w:r>
      <w:fldChar w:fldCharType="end"/>
    </w:r>
  </w:p>
  <w:p>
    <w:pPr>
      <w:pStyle w:val="2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2"/>
      <w:ind w:right="360"/>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175">
                        <a:noFill/>
                        <a:miter/>
                      </a:ln>
                    </wps:spPr>
                    <wps:txbx>
                      <w:txbxContent>
                        <w:p>
                          <w:pPr>
                            <w:pStyle w:val="22"/>
                            <w:ind w:right="360"/>
                            <w:jc w:val="center"/>
                          </w:pPr>
                          <w:r>
                            <w:fldChar w:fldCharType="begin"/>
                          </w:r>
                          <w:r>
                            <w:rPr>
                              <w:rStyle w:val="30"/>
                            </w:rPr>
                            <w:instrText xml:space="preserve"> PAGE </w:instrText>
                          </w:r>
                          <w:r>
                            <w:fldChar w:fldCharType="separate"/>
                          </w:r>
                          <w:r>
                            <w:rPr>
                              <w:rStyle w:val="30"/>
                            </w:rPr>
                            <w:t>2</w:t>
                          </w:r>
                          <w: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bviutIAAAAFAQAADwAAAAAAAAABACAAAAAiAAAAZHJzL2Rvd25yZXYu&#10;eG1sUEsBAhQAFAAAAAgAh07iQAa1KMTIAQAAdQMAAA4AAAAAAAAAAQAgAAAAIQEAAGRycy9lMm9E&#10;b2MueG1sUEsFBgAAAAAGAAYAWQEAAFsFAAAAAA==&#10;">
              <v:fill on="f" focussize="0,0"/>
              <v:stroke on="f" weight="0.25pt" joinstyle="miter"/>
              <v:imagedata o:title=""/>
              <o:lock v:ext="edit" aspectratio="f"/>
              <v:textbox inset="0mm,0mm,0mm,0mm" style="mso-fit-shape-to-text:t;">
                <w:txbxContent>
                  <w:p>
                    <w:pPr>
                      <w:pStyle w:val="22"/>
                      <w:ind w:right="360"/>
                      <w:jc w:val="center"/>
                    </w:pPr>
                    <w:r>
                      <w:fldChar w:fldCharType="begin"/>
                    </w:r>
                    <w:r>
                      <w:rPr>
                        <w:rStyle w:val="30"/>
                      </w:rPr>
                      <w:instrText xml:space="preserve"> PAGE </w:instrText>
                    </w:r>
                    <w:r>
                      <w:fldChar w:fldCharType="separate"/>
                    </w:r>
                    <w:r>
                      <w:rPr>
                        <w:rStyle w:val="30"/>
                      </w:rP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175">
                        <a:noFill/>
                        <a:miter/>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Fu+K60gAAAAUBAAAPAAAAAAAAAAEAIAAAACIAAABkcnMvZG93bnJldi54&#10;bWxQSwECFAAUAAAACACHTuJArC0hrMcBAAB1AwAADgAAAAAAAAABACAAAAAhAQAAZHJzL2Uyb0Rv&#10;Yy54bWxQSwUGAAAAAAYABgBZAQAAWgUAAAAA&#10;">
              <v:fill on="f" focussize="0,0"/>
              <v:stroke on="f" weight="0.25pt"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2"/>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175">
                        <a:noFill/>
                        <a:miter/>
                      </a:ln>
                    </wps:spPr>
                    <wps:txbx>
                      <w:txbxContent>
                        <w:p>
                          <w:pPr>
                            <w:pStyle w:val="22"/>
                            <w:ind w:right="360"/>
                            <w:jc w:val="center"/>
                          </w:pPr>
                          <w:r>
                            <w:fldChar w:fldCharType="begin"/>
                          </w:r>
                          <w:r>
                            <w:rPr>
                              <w:rStyle w:val="30"/>
                            </w:rPr>
                            <w:instrText xml:space="preserve"> PAGE </w:instrText>
                          </w:r>
                          <w:r>
                            <w:fldChar w:fldCharType="separate"/>
                          </w:r>
                          <w:r>
                            <w:rPr>
                              <w:rStyle w:val="30"/>
                              <w:lang w:val="zh-CN" w:eastAsia="zh-CN"/>
                            </w:rPr>
                            <w:t>37</w:t>
                          </w:r>
                          <w: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Fu+K60gAAAAUBAAAPAAAAAAAAAAEAIAAAACIAAABkcnMvZG93bnJldi54&#10;bWxQSwECFAAUAAAACACHTuJAUoQ7FMcBAAB1AwAADgAAAAAAAAABACAAAAAhAQAAZHJzL2Uyb0Rv&#10;Yy54bWxQSwUGAAAAAAYABgBZAQAAWgUAAAAA&#10;">
              <v:fill on="f" focussize="0,0"/>
              <v:stroke on="f" weight="0.25pt" joinstyle="miter"/>
              <v:imagedata o:title=""/>
              <o:lock v:ext="edit" aspectratio="f"/>
              <v:textbox inset="0mm,0mm,0mm,0mm" style="mso-fit-shape-to-text:t;">
                <w:txbxContent>
                  <w:p>
                    <w:pPr>
                      <w:pStyle w:val="22"/>
                      <w:ind w:right="360"/>
                      <w:jc w:val="center"/>
                    </w:pPr>
                    <w:r>
                      <w:fldChar w:fldCharType="begin"/>
                    </w:r>
                    <w:r>
                      <w:rPr>
                        <w:rStyle w:val="30"/>
                      </w:rPr>
                      <w:instrText xml:space="preserve"> PAGE </w:instrText>
                    </w:r>
                    <w:r>
                      <w:fldChar w:fldCharType="separate"/>
                    </w:r>
                    <w:r>
                      <w:rPr>
                        <w:rStyle w:val="30"/>
                        <w:lang w:val="zh-CN" w:eastAsia="zh-CN"/>
                      </w:rPr>
                      <w:t>37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175">
                        <a:noFill/>
                        <a:miter/>
                      </a:ln>
                    </wps:spPr>
                    <wps:txbx>
                      <w:txbxContent>
                        <w:p>
                          <w:pPr>
                            <w:pStyle w:val="22"/>
                            <w:jc w:val="center"/>
                          </w:pPr>
                          <w:r>
                            <w:fldChar w:fldCharType="begin"/>
                          </w:r>
                          <w:r>
                            <w:rPr>
                              <w:rStyle w:val="30"/>
                            </w:rPr>
                            <w:instrText xml:space="preserve"> PAGE </w:instrText>
                          </w:r>
                          <w:r>
                            <w:fldChar w:fldCharType="separate"/>
                          </w:r>
                          <w:r>
                            <w:rPr>
                              <w:rStyle w:val="30"/>
                              <w:lang w:val="zh-CN" w:eastAsia="zh-CN"/>
                            </w:rPr>
                            <w:t>32</w:t>
                          </w:r>
                          <w: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Fu+K60gAAAAUBAAAPAAAAAAAAAAEAIAAAACIAAABkcnMvZG93bnJldi54&#10;bWxQSwECFAAUAAAACACHTuJA+BwyfMcBAAB1AwAADgAAAAAAAAABACAAAAAhAQAAZHJzL2Uyb0Rv&#10;Yy54bWxQSwUGAAAAAAYABgBZAQAAWgUAAAAA&#10;">
              <v:fill on="f" focussize="0,0"/>
              <v:stroke on="f" weight="0.25pt" joinstyle="miter"/>
              <v:imagedata o:title=""/>
              <o:lock v:ext="edit" aspectratio="f"/>
              <v:textbox inset="0mm,0mm,0mm,0mm" style="mso-fit-shape-to-text:t;">
                <w:txbxContent>
                  <w:p>
                    <w:pPr>
                      <w:pStyle w:val="22"/>
                      <w:jc w:val="center"/>
                    </w:pPr>
                    <w:r>
                      <w:fldChar w:fldCharType="begin"/>
                    </w:r>
                    <w:r>
                      <w:rPr>
                        <w:rStyle w:val="30"/>
                      </w:rPr>
                      <w:instrText xml:space="preserve"> PAGE </w:instrText>
                    </w:r>
                    <w:r>
                      <w:fldChar w:fldCharType="separate"/>
                    </w:r>
                    <w:r>
                      <w:rPr>
                        <w:rStyle w:val="30"/>
                        <w:lang w:val="zh-CN" w:eastAsia="zh-CN"/>
                      </w:rP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01933957">
    <w:nsid w:val="538FD085"/>
    <w:multiLevelType w:val="singleLevel"/>
    <w:tmpl w:val="538FD085"/>
    <w:lvl w:ilvl="0" w:tentative="1">
      <w:start w:val="1"/>
      <w:numFmt w:val="decimal"/>
      <w:suff w:val="nothing"/>
      <w:lvlText w:val="%1、"/>
      <w:lvlJc w:val="left"/>
    </w:lvl>
  </w:abstractNum>
  <w:abstractNum w:abstractNumId="5">
    <w:nsid w:val="00000005"/>
    <w:multiLevelType w:val="singleLevel"/>
    <w:tmpl w:val="00000005"/>
    <w:lvl w:ilvl="0" w:tentative="1">
      <w:start w:val="1"/>
      <w:numFmt w:val="decimal"/>
      <w:lvlText w:val="%1．"/>
      <w:lvlJc w:val="left"/>
      <w:pPr>
        <w:tabs>
          <w:tab w:val="left" w:pos="960"/>
        </w:tabs>
        <w:ind w:left="960" w:hanging="360"/>
      </w:pPr>
      <w:rPr>
        <w:rFonts w:hint="eastAsia"/>
      </w:rPr>
    </w:lvl>
  </w:abstractNum>
  <w:abstractNum w:abstractNumId="1398789401">
    <w:nsid w:val="535FD519"/>
    <w:multiLevelType w:val="singleLevel"/>
    <w:tmpl w:val="535FD519"/>
    <w:lvl w:ilvl="0" w:tentative="1">
      <w:start w:val="1"/>
      <w:numFmt w:val="decimal"/>
      <w:suff w:val="nothing"/>
      <w:lvlText w:val="%1、"/>
      <w:lvlJc w:val="left"/>
    </w:lvl>
  </w:abstractNum>
  <w:abstractNum w:abstractNumId="1398682584">
    <w:nsid w:val="535E33D8"/>
    <w:multiLevelType w:val="singleLevel"/>
    <w:tmpl w:val="535E33D8"/>
    <w:lvl w:ilvl="0" w:tentative="1">
      <w:start w:val="3"/>
      <w:numFmt w:val="decimal"/>
      <w:suff w:val="nothing"/>
      <w:lvlText w:val="%1、"/>
      <w:lvlJc w:val="left"/>
    </w:lvl>
  </w:abstractNum>
  <w:abstractNum w:abstractNumId="1455845952">
    <w:nsid w:val="56C67240"/>
    <w:multiLevelType w:val="singleLevel"/>
    <w:tmpl w:val="56C67240"/>
    <w:lvl w:ilvl="0" w:tentative="1">
      <w:start w:val="1"/>
      <w:numFmt w:val="decimal"/>
      <w:suff w:val="nothing"/>
      <w:lvlText w:val="%1、"/>
      <w:lvlJc w:val="left"/>
    </w:lvl>
  </w:abstractNum>
  <w:num w:numId="1">
    <w:abstractNumId w:val="5"/>
  </w:num>
  <w:num w:numId="2">
    <w:abstractNumId w:val="1455845952"/>
  </w:num>
  <w:num w:numId="3">
    <w:abstractNumId w:val="1398789401"/>
  </w:num>
  <w:num w:numId="4">
    <w:abstractNumId w:val="1398682584"/>
  </w:num>
  <w:num w:numId="5">
    <w:abstractNumId w:val="14019339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5"/>
  <w:hyphenationZone w:val="360"/>
  <w:drawingGridHorizontalSpacing w:val="20"/>
  <w:drawingGridVerticalSpacing w:val="20"/>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20890"/>
    <w:rsid w:val="00314D40"/>
    <w:rsid w:val="003561B6"/>
    <w:rsid w:val="004757BA"/>
    <w:rsid w:val="00677301"/>
    <w:rsid w:val="006A553E"/>
    <w:rsid w:val="008951A0"/>
    <w:rsid w:val="008E2A5D"/>
    <w:rsid w:val="00AE6416"/>
    <w:rsid w:val="00B237DB"/>
    <w:rsid w:val="00DC3255"/>
    <w:rsid w:val="00E87E41"/>
    <w:rsid w:val="00F964D6"/>
    <w:rsid w:val="079C210B"/>
    <w:rsid w:val="11CB3415"/>
    <w:rsid w:val="1693239A"/>
    <w:rsid w:val="1A3F104C"/>
    <w:rsid w:val="1C120B99"/>
    <w:rsid w:val="20FF584C"/>
    <w:rsid w:val="23FF137B"/>
    <w:rsid w:val="27E46300"/>
    <w:rsid w:val="2BB25FC8"/>
    <w:rsid w:val="311004D0"/>
    <w:rsid w:val="3E973728"/>
    <w:rsid w:val="40A47010"/>
    <w:rsid w:val="43AF45F5"/>
    <w:rsid w:val="459254BD"/>
    <w:rsid w:val="495E6BD1"/>
    <w:rsid w:val="4A3949E5"/>
    <w:rsid w:val="54CC5AD2"/>
    <w:rsid w:val="5A135B22"/>
    <w:rsid w:val="5A7A438E"/>
    <w:rsid w:val="60CB6ECE"/>
    <w:rsid w:val="63464C0D"/>
    <w:rsid w:val="63E1735A"/>
    <w:rsid w:val="6ABB174E"/>
    <w:rsid w:val="6B4640BA"/>
    <w:rsid w:val="6D1D3B86"/>
    <w:rsid w:val="761E4670"/>
    <w:rsid w:val="783C5932"/>
    <w:rsid w:val="7D773192"/>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25pt" color="#C0C0C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8"/>
      <w:lang w:val="en-US" w:eastAsia="zh-CN" w:bidi="ar-SA"/>
    </w:rPr>
  </w:style>
  <w:style w:type="paragraph" w:styleId="2">
    <w:name w:val="heading 1"/>
    <w:basedOn w:val="1"/>
    <w:next w:val="1"/>
    <w:qFormat/>
    <w:uiPriority w:val="0"/>
    <w:pPr>
      <w:keepNext/>
      <w:jc w:val="center"/>
      <w:outlineLvl w:val="0"/>
    </w:pPr>
    <w:rPr>
      <w:rFonts w:ascii="宋体"/>
      <w:b/>
      <w:sz w:val="24"/>
      <w:szCs w:val="24"/>
    </w:rPr>
  </w:style>
  <w:style w:type="paragraph" w:styleId="3">
    <w:name w:val="heading 2"/>
    <w:basedOn w:val="1"/>
    <w:next w:val="1"/>
    <w:qFormat/>
    <w:uiPriority w:val="0"/>
    <w:pPr>
      <w:keepNext/>
      <w:spacing w:before="240" w:beforeLines="0" w:after="240" w:afterLines="0"/>
      <w:ind w:firstLine="0"/>
      <w:jc w:val="center"/>
      <w:outlineLvl w:val="1"/>
    </w:pPr>
    <w:rPr>
      <w:rFonts w:ascii="Arial Rounded MT Bold" w:hAnsi="Arial Rounded MT Bold" w:eastAsia="黑体"/>
      <w:sz w:val="32"/>
    </w:rPr>
  </w:style>
  <w:style w:type="paragraph" w:styleId="4">
    <w:name w:val="heading 3"/>
    <w:basedOn w:val="1"/>
    <w:next w:val="1"/>
    <w:qFormat/>
    <w:uiPriority w:val="0"/>
    <w:pPr>
      <w:keepNext/>
      <w:keepLines/>
      <w:snapToGrid w:val="0"/>
      <w:spacing w:before="120" w:beforeLines="0"/>
      <w:outlineLvl w:val="2"/>
    </w:pPr>
    <w:rPr>
      <w:b/>
      <w:sz w:val="32"/>
    </w:rPr>
  </w:style>
  <w:style w:type="paragraph" w:styleId="5">
    <w:name w:val="heading 4"/>
    <w:basedOn w:val="1"/>
    <w:next w:val="6"/>
    <w:qFormat/>
    <w:uiPriority w:val="0"/>
    <w:pPr>
      <w:keepNext/>
      <w:keepLines/>
      <w:adjustRightInd w:val="0"/>
      <w:snapToGrid w:val="0"/>
      <w:textAlignment w:val="baseline"/>
      <w:outlineLvl w:val="3"/>
    </w:pPr>
    <w:rPr>
      <w:rFonts w:ascii="黑体" w:eastAsia="黑体"/>
      <w:b/>
      <w:kern w:val="0"/>
      <w:sz w:val="28"/>
    </w:rPr>
  </w:style>
  <w:style w:type="paragraph" w:styleId="7">
    <w:name w:val="heading 5"/>
    <w:basedOn w:val="1"/>
    <w:next w:val="1"/>
    <w:qFormat/>
    <w:uiPriority w:val="0"/>
    <w:pPr>
      <w:keepNext/>
      <w:keepLines/>
      <w:autoSpaceDE w:val="0"/>
      <w:autoSpaceDN w:val="0"/>
      <w:adjustRightInd w:val="0"/>
      <w:spacing w:line="376" w:lineRule="atLeast"/>
      <w:outlineLvl w:val="4"/>
    </w:pPr>
    <w:rPr>
      <w:rFonts w:eastAsia="创艺简细圆"/>
      <w:b/>
      <w:kern w:val="0"/>
      <w:sz w:val="24"/>
    </w:rPr>
  </w:style>
  <w:style w:type="paragraph" w:styleId="8">
    <w:name w:val="heading 6"/>
    <w:basedOn w:val="1"/>
    <w:next w:val="1"/>
    <w:qFormat/>
    <w:uiPriority w:val="0"/>
    <w:pPr>
      <w:keepNext/>
      <w:keepLines/>
      <w:adjustRightInd w:val="0"/>
      <w:spacing w:before="240" w:beforeLines="0" w:after="64" w:afterLines="0" w:line="320" w:lineRule="atLeast"/>
      <w:jc w:val="left"/>
      <w:textAlignment w:val="baseline"/>
      <w:outlineLvl w:val="5"/>
    </w:pPr>
    <w:rPr>
      <w:rFonts w:ascii="Arial" w:hAnsi="Arial" w:eastAsia="黑体"/>
      <w:b/>
      <w:kern w:val="0"/>
      <w:sz w:val="24"/>
    </w:rPr>
  </w:style>
  <w:style w:type="paragraph" w:styleId="9">
    <w:name w:val="heading 7"/>
    <w:basedOn w:val="1"/>
    <w:next w:val="1"/>
    <w:qFormat/>
    <w:uiPriority w:val="0"/>
    <w:pPr>
      <w:keepNext/>
      <w:jc w:val="center"/>
      <w:outlineLvl w:val="6"/>
    </w:pPr>
    <w:rPr>
      <w:sz w:val="48"/>
      <w:vertAlign w:val="subscript"/>
    </w:rPr>
  </w:style>
  <w:style w:type="paragraph" w:styleId="10">
    <w:name w:val="heading 8"/>
    <w:basedOn w:val="1"/>
    <w:next w:val="1"/>
    <w:qFormat/>
    <w:uiPriority w:val="0"/>
    <w:pPr>
      <w:keepNext/>
      <w:jc w:val="center"/>
      <w:outlineLvl w:val="7"/>
    </w:pPr>
    <w:rPr>
      <w:sz w:val="44"/>
      <w:vertAlign w:val="subscript"/>
    </w:rPr>
  </w:style>
  <w:style w:type="character" w:default="1" w:styleId="28">
    <w:name w:val="Default Paragraph Font"/>
    <w:uiPriority w:val="0"/>
    <w:rPr>
      <w:sz w:val="21"/>
    </w:rPr>
  </w:style>
  <w:style w:type="table" w:default="1" w:styleId="34">
    <w:name w:val="Normal Table"/>
    <w:unhideWhenUsed/>
    <w:uiPriority w:val="99"/>
    <w:tblPr>
      <w:tblStyle w:val="34"/>
      <w:tblLayout w:type="fixed"/>
      <w:tblCellMar>
        <w:top w:w="0" w:type="dxa"/>
        <w:left w:w="108" w:type="dxa"/>
        <w:bottom w:w="0" w:type="dxa"/>
        <w:right w:w="108" w:type="dxa"/>
      </w:tblCellMar>
    </w:tblPr>
    <w:tcPr>
      <w:textDirection w:val="lrTb"/>
    </w:tcPr>
  </w:style>
  <w:style w:type="paragraph" w:styleId="6">
    <w:name w:val="Normal Indent"/>
    <w:basedOn w:val="1"/>
    <w:link w:val="66"/>
    <w:uiPriority w:val="0"/>
    <w:pPr>
      <w:ind w:firstLine="420"/>
    </w:pPr>
  </w:style>
  <w:style w:type="paragraph" w:styleId="11">
    <w:name w:val="annotation subject"/>
    <w:basedOn w:val="12"/>
    <w:next w:val="12"/>
    <w:uiPriority w:val="0"/>
    <w:rPr>
      <w:b/>
      <w:bCs/>
    </w:rPr>
  </w:style>
  <w:style w:type="paragraph" w:styleId="12">
    <w:name w:val="annotation text"/>
    <w:basedOn w:val="1"/>
    <w:uiPriority w:val="0"/>
    <w:pPr>
      <w:jc w:val="left"/>
    </w:pPr>
  </w:style>
  <w:style w:type="paragraph" w:styleId="13">
    <w:name w:val="Body Text First Indent"/>
    <w:basedOn w:val="14"/>
    <w:uiPriority w:val="0"/>
    <w:pPr>
      <w:ind w:firstLine="420" w:firstLineChars="100"/>
    </w:pPr>
  </w:style>
  <w:style w:type="paragraph" w:styleId="14">
    <w:name w:val="Body Text"/>
    <w:basedOn w:val="1"/>
    <w:uiPriority w:val="0"/>
    <w:rPr>
      <w:rFonts w:ascii="宋体"/>
      <w:b/>
      <w:sz w:val="24"/>
    </w:rPr>
  </w:style>
  <w:style w:type="paragraph" w:styleId="15">
    <w:name w:val="Document Map"/>
    <w:basedOn w:val="1"/>
    <w:uiPriority w:val="0"/>
    <w:pPr>
      <w:shd w:val="clear" w:color="auto" w:fill="000080"/>
    </w:pPr>
  </w:style>
  <w:style w:type="paragraph" w:styleId="16">
    <w:name w:val="Body Text Indent"/>
    <w:basedOn w:val="1"/>
    <w:uiPriority w:val="0"/>
    <w:pPr>
      <w:ind w:firstLine="480" w:firstLineChars="200"/>
    </w:pPr>
    <w:rPr>
      <w:sz w:val="24"/>
    </w:rPr>
  </w:style>
  <w:style w:type="paragraph" w:styleId="17">
    <w:name w:val="List 2"/>
    <w:basedOn w:val="1"/>
    <w:uiPriority w:val="0"/>
    <w:pPr>
      <w:adjustRightInd w:val="0"/>
      <w:ind w:left="840" w:hanging="420"/>
      <w:textAlignment w:val="baseline"/>
    </w:pPr>
    <w:rPr>
      <w:kern w:val="0"/>
      <w:sz w:val="24"/>
    </w:rPr>
  </w:style>
  <w:style w:type="paragraph" w:styleId="18">
    <w:name w:val="toc 3"/>
    <w:basedOn w:val="1"/>
    <w:next w:val="1"/>
    <w:uiPriority w:val="0"/>
    <w:pPr>
      <w:ind w:left="840" w:leftChars="400"/>
    </w:pPr>
    <w:rPr>
      <w:sz w:val="21"/>
      <w:szCs w:val="24"/>
    </w:rPr>
  </w:style>
  <w:style w:type="paragraph" w:styleId="19">
    <w:name w:val="Plain Text"/>
    <w:basedOn w:val="1"/>
    <w:link w:val="74"/>
    <w:uiPriority w:val="0"/>
    <w:rPr>
      <w:rFonts w:ascii="宋体" w:hAnsi="Courier New"/>
      <w:sz w:val="21"/>
      <w:szCs w:val="21"/>
    </w:rPr>
  </w:style>
  <w:style w:type="paragraph" w:styleId="20">
    <w:name w:val="Body Text Indent 2"/>
    <w:basedOn w:val="1"/>
    <w:uiPriority w:val="0"/>
    <w:pPr>
      <w:ind w:firstLine="555"/>
    </w:pPr>
    <w:rPr>
      <w:sz w:val="24"/>
    </w:rPr>
  </w:style>
  <w:style w:type="paragraph" w:styleId="21">
    <w:name w:val="Balloon Text"/>
    <w:basedOn w:val="1"/>
    <w:uiPriority w:val="0"/>
    <w:rPr>
      <w:sz w:val="18"/>
      <w:szCs w:val="18"/>
    </w:rPr>
  </w:style>
  <w:style w:type="paragraph" w:styleId="22">
    <w:name w:val="footer"/>
    <w:basedOn w:val="1"/>
    <w:uiPriority w:val="0"/>
    <w:pPr>
      <w:tabs>
        <w:tab w:val="center" w:pos="4153"/>
        <w:tab w:val="right" w:pos="8306"/>
      </w:tabs>
      <w:snapToGrid w:val="0"/>
      <w:jc w:val="left"/>
    </w:pPr>
    <w:rPr>
      <w:sz w:val="18"/>
      <w:szCs w:val="18"/>
    </w:rPr>
  </w:style>
  <w:style w:type="paragraph" w:styleId="23">
    <w:name w:val="header"/>
    <w:basedOn w:val="1"/>
    <w:uiPriority w:val="0"/>
    <w:pPr>
      <w:pBdr>
        <w:bottom w:val="single" w:color="auto" w:sz="6" w:space="1"/>
      </w:pBdr>
      <w:tabs>
        <w:tab w:val="center" w:pos="4153"/>
        <w:tab w:val="right" w:pos="8306"/>
      </w:tabs>
      <w:snapToGrid w:val="0"/>
      <w:jc w:val="center"/>
    </w:pPr>
    <w:rPr>
      <w:sz w:val="18"/>
    </w:rPr>
  </w:style>
  <w:style w:type="paragraph" w:styleId="24">
    <w:name w:val="List"/>
    <w:basedOn w:val="1"/>
    <w:uiPriority w:val="0"/>
    <w:pPr>
      <w:ind w:left="200" w:hanging="200" w:hangingChars="200"/>
    </w:pPr>
  </w:style>
  <w:style w:type="paragraph" w:styleId="25">
    <w:name w:val="Body Text Indent 3"/>
    <w:basedOn w:val="1"/>
    <w:uiPriority w:val="0"/>
    <w:pPr>
      <w:ind w:firstLine="510"/>
    </w:pPr>
  </w:style>
  <w:style w:type="paragraph" w:styleId="26">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27">
    <w:name w:val="Normal (Web)"/>
    <w:basedOn w:val="1"/>
    <w:uiPriority w:val="0"/>
    <w:pPr>
      <w:widowControl/>
      <w:spacing w:before="100" w:beforeLines="0" w:beforeAutospacing="1" w:after="100" w:afterLines="0" w:afterAutospacing="1"/>
      <w:jc w:val="left"/>
    </w:pPr>
    <w:rPr>
      <w:rFonts w:ascii="宋体" w:hAnsi="宋体" w:cs="宋体"/>
      <w:kern w:val="0"/>
      <w:sz w:val="24"/>
      <w:szCs w:val="24"/>
    </w:rPr>
  </w:style>
  <w:style w:type="character" w:styleId="29">
    <w:name w:val="Strong"/>
    <w:qFormat/>
    <w:uiPriority w:val="0"/>
    <w:rPr>
      <w:b/>
      <w:bCs/>
    </w:rPr>
  </w:style>
  <w:style w:type="character" w:styleId="30">
    <w:name w:val="page number"/>
    <w:basedOn w:val="28"/>
    <w:uiPriority w:val="0"/>
  </w:style>
  <w:style w:type="character" w:styleId="31">
    <w:name w:val="FollowedHyperlink"/>
    <w:uiPriority w:val="0"/>
    <w:rPr>
      <w:color w:val="800080"/>
      <w:u w:val="single"/>
    </w:rPr>
  </w:style>
  <w:style w:type="character" w:styleId="32">
    <w:name w:val="Hyperlink"/>
    <w:uiPriority w:val="0"/>
    <w:rPr>
      <w:color w:val="0000FF"/>
      <w:u w:val="single"/>
    </w:rPr>
  </w:style>
  <w:style w:type="character" w:styleId="33">
    <w:name w:val="annotation reference"/>
    <w:uiPriority w:val="0"/>
    <w:rPr>
      <w:sz w:val="21"/>
      <w:szCs w:val="21"/>
    </w:rPr>
  </w:style>
  <w:style w:type="table" w:styleId="35">
    <w:name w:val="Table Grid"/>
    <w:basedOn w:val="34"/>
    <w:unhideWhenUsed/>
    <w:uiPriority w:val="99"/>
    <w:pPr>
      <w:widowControl w:val="0"/>
      <w:jc w:val="both"/>
    </w:pPr>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36">
    <w:name w:val="表格文字"/>
    <w:basedOn w:val="1"/>
    <w:link w:val="69"/>
    <w:uiPriority w:val="0"/>
    <w:pPr>
      <w:spacing w:line="360" w:lineRule="exact"/>
      <w:jc w:val="center"/>
    </w:pPr>
    <w:rPr>
      <w:rFonts w:ascii="仿宋_GB2312" w:hAnsi="Arial Black" w:eastAsia="仿宋_GB2312"/>
      <w:kern w:val="44"/>
      <w:sz w:val="24"/>
    </w:rPr>
  </w:style>
  <w:style w:type="paragraph" w:customStyle="1" w:styleId="37">
    <w:name w:val="xl27"/>
    <w:basedOn w:val="1"/>
    <w:uiPriority w:val="0"/>
    <w:pPr>
      <w:widowControl/>
      <w:spacing w:before="100" w:beforeLines="0" w:beforeAutospacing="1" w:after="100" w:afterLines="0" w:afterAutospacing="1"/>
      <w:jc w:val="left"/>
    </w:pPr>
    <w:rPr>
      <w:rFonts w:ascii="Arial" w:hAnsi="Arial" w:cs="Arial"/>
      <w:kern w:val="0"/>
      <w:sz w:val="20"/>
      <w:szCs w:val="20"/>
    </w:rPr>
  </w:style>
  <w:style w:type="paragraph" w:customStyle="1" w:styleId="38">
    <w:name w:val="样式1"/>
    <w:basedOn w:val="1"/>
    <w:uiPriority w:val="0"/>
    <w:pPr>
      <w:autoSpaceDE w:val="0"/>
      <w:autoSpaceDN w:val="0"/>
      <w:adjustRightInd w:val="0"/>
      <w:jc w:val="left"/>
      <w:textAlignment w:val="baseline"/>
    </w:pPr>
    <w:rPr>
      <w:kern w:val="0"/>
      <w:sz w:val="24"/>
    </w:rPr>
  </w:style>
  <w:style w:type="paragraph" w:customStyle="1" w:styleId="39">
    <w:name w:val="表头"/>
    <w:basedOn w:val="1"/>
    <w:uiPriority w:val="0"/>
    <w:pPr>
      <w:snapToGrid w:val="0"/>
      <w:spacing w:line="320" w:lineRule="atLeast"/>
      <w:ind w:firstLine="0"/>
      <w:jc w:val="center"/>
    </w:pPr>
    <w:rPr>
      <w:rFonts w:eastAsia="黑体"/>
      <w:spacing w:val="-10"/>
      <w:sz w:val="21"/>
    </w:rPr>
  </w:style>
  <w:style w:type="paragraph" w:customStyle="1" w:styleId="40">
    <w:name w:val="默认段落字体 Para Char Char Char Char"/>
    <w:basedOn w:val="1"/>
    <w:uiPriority w:val="0"/>
    <w:pPr>
      <w:spacing w:line="240" w:lineRule="auto"/>
      <w:ind w:firstLine="0" w:firstLineChars="0"/>
    </w:pPr>
    <w:rPr>
      <w:sz w:val="21"/>
    </w:rPr>
  </w:style>
  <w:style w:type="paragraph" w:customStyle="1" w:styleId="41">
    <w:name w:val="表蕊"/>
    <w:basedOn w:val="1"/>
    <w:uiPriority w:val="0"/>
    <w:pPr>
      <w:adjustRightInd w:val="0"/>
      <w:spacing w:line="320" w:lineRule="atLeast"/>
      <w:jc w:val="left"/>
      <w:textAlignment w:val="baseline"/>
    </w:pPr>
    <w:rPr>
      <w:rFonts w:eastAsia="楷体_GB2312"/>
      <w:spacing w:val="-10"/>
      <w:kern w:val="0"/>
      <w:sz w:val="21"/>
    </w:rPr>
  </w:style>
  <w:style w:type="paragraph" w:customStyle="1" w:styleId="42">
    <w:name w:val="正文 首行缩进:  2 字符"/>
    <w:basedOn w:val="1"/>
    <w:qFormat/>
    <w:uiPriority w:val="0"/>
    <w:pPr>
      <w:spacing w:line="460" w:lineRule="exact"/>
      <w:ind w:firstLine="480" w:firstLineChars="200"/>
    </w:pPr>
    <w:rPr>
      <w:rFonts w:cs="宋体"/>
      <w:sz w:val="24"/>
    </w:rPr>
  </w:style>
  <w:style w:type="paragraph" w:customStyle="1" w:styleId="43">
    <w:name w:val="正文2"/>
    <w:basedOn w:val="1"/>
    <w:uiPriority w:val="0"/>
    <w:rPr>
      <w:rFonts w:eastAsia="宋体"/>
    </w:rPr>
  </w:style>
  <w:style w:type="paragraph" w:customStyle="1" w:styleId="44">
    <w:name w:val="p0"/>
    <w:basedOn w:val="1"/>
    <w:uiPriority w:val="0"/>
    <w:pPr>
      <w:widowControl/>
    </w:pPr>
    <w:rPr>
      <w:kern w:val="0"/>
      <w:sz w:val="21"/>
      <w:szCs w:val="21"/>
    </w:rPr>
  </w:style>
  <w:style w:type="paragraph" w:customStyle="1" w:styleId="45">
    <w:name w:val="中文报告书样式"/>
    <w:basedOn w:val="1"/>
    <w:uiPriority w:val="0"/>
    <w:pPr>
      <w:adjustRightInd w:val="0"/>
      <w:snapToGrid w:val="0"/>
      <w:spacing w:line="440" w:lineRule="exact"/>
      <w:ind w:firstLine="540" w:firstLineChars="225"/>
      <w:jc w:val="center"/>
    </w:pPr>
    <w:rPr>
      <w:color w:val="000000"/>
      <w:kern w:val="28"/>
      <w:sz w:val="24"/>
    </w:rPr>
  </w:style>
  <w:style w:type="paragraph" w:customStyle="1" w:styleId="46">
    <w:name w:val="5 Char"/>
    <w:basedOn w:val="1"/>
    <w:uiPriority w:val="0"/>
    <w:rPr>
      <w:sz w:val="21"/>
      <w:szCs w:val="24"/>
    </w:rPr>
  </w:style>
  <w:style w:type="paragraph" w:customStyle="1" w:styleId="47">
    <w:name w:val="List Paragraph"/>
    <w:basedOn w:val="1"/>
    <w:qFormat/>
    <w:uiPriority w:val="34"/>
    <w:pPr>
      <w:ind w:firstLine="420" w:firstLineChars="200"/>
    </w:pPr>
  </w:style>
  <w:style w:type="paragraph" w:customStyle="1" w:styleId="48">
    <w:name w:val="表格内容"/>
    <w:basedOn w:val="1"/>
    <w:link w:val="68"/>
    <w:qFormat/>
    <w:uiPriority w:val="0"/>
    <w:pPr>
      <w:spacing w:line="300" w:lineRule="exact"/>
    </w:pPr>
    <w:rPr>
      <w:snapToGrid w:val="0"/>
      <w:color w:val="000000"/>
      <w:kern w:val="0"/>
      <w:sz w:val="21"/>
      <w:szCs w:val="21"/>
    </w:rPr>
  </w:style>
  <w:style w:type="paragraph" w:customStyle="1" w:styleId="49">
    <w:name w:val=" Char Char2 Char Char Char Char Char Char Char Char Char Char Char2 Char"/>
    <w:basedOn w:val="1"/>
    <w:uiPriority w:val="0"/>
    <w:pPr>
      <w:autoSpaceDE w:val="0"/>
      <w:autoSpaceDN w:val="0"/>
      <w:adjustRightInd w:val="0"/>
      <w:jc w:val="left"/>
      <w:textAlignment w:val="baseline"/>
    </w:pPr>
    <w:rPr>
      <w:rFonts w:ascii="宋体"/>
      <w:kern w:val="0"/>
      <w:sz w:val="34"/>
    </w:rPr>
  </w:style>
  <w:style w:type="paragraph" w:customStyle="1" w:styleId="50">
    <w:name w:val=" Char Char Char"/>
    <w:basedOn w:val="1"/>
    <w:uiPriority w:val="0"/>
    <w:rPr>
      <w:sz w:val="24"/>
    </w:rPr>
  </w:style>
  <w:style w:type="paragraph" w:customStyle="1" w:styleId="51">
    <w:name w:val="xl67"/>
    <w:basedOn w:val="1"/>
    <w:uiPriority w:val="0"/>
    <w:pPr>
      <w:widowControl/>
      <w:pBdr>
        <w:left w:val="single" w:color="auto" w:sz="4" w:space="0"/>
      </w:pBdr>
      <w:spacing w:before="100" w:beforeLines="0" w:beforeAutospacing="1" w:after="100" w:afterLines="0" w:afterAutospacing="1"/>
      <w:jc w:val="center"/>
    </w:pPr>
    <w:rPr>
      <w:rFonts w:ascii="仿宋_GB2312" w:hAnsi="宋体" w:eastAsia="仿宋_GB2312"/>
      <w:kern w:val="0"/>
      <w:sz w:val="24"/>
      <w:szCs w:val="20"/>
    </w:rPr>
  </w:style>
  <w:style w:type="paragraph" w:customStyle="1" w:styleId="52">
    <w:name w:val="新正文"/>
    <w:basedOn w:val="1"/>
    <w:link w:val="75"/>
    <w:uiPriority w:val="0"/>
    <w:pPr>
      <w:spacing w:line="460" w:lineRule="exact"/>
      <w:ind w:firstLine="454"/>
    </w:pPr>
    <w:rPr>
      <w:rFonts w:ascii="仿宋_GB2312" w:eastAsia="仿宋_GB2312"/>
      <w:bCs/>
      <w:szCs w:val="24"/>
    </w:rPr>
  </w:style>
  <w:style w:type="paragraph" w:customStyle="1" w:styleId="53">
    <w:name w:val="表"/>
    <w:basedOn w:val="1"/>
    <w:link w:val="70"/>
    <w:uiPriority w:val="0"/>
    <w:pPr>
      <w:spacing w:line="320" w:lineRule="atLeast"/>
      <w:jc w:val="center"/>
    </w:pPr>
    <w:rPr>
      <w:sz w:val="21"/>
    </w:rPr>
  </w:style>
  <w:style w:type="paragraph" w:customStyle="1" w:styleId="54">
    <w:name w:val="font8"/>
    <w:basedOn w:val="1"/>
    <w:uiPriority w:val="0"/>
    <w:pPr>
      <w:widowControl/>
      <w:spacing w:before="100" w:beforeLines="0" w:beforeAutospacing="1" w:after="100" w:afterLines="0" w:afterAutospacing="1"/>
      <w:jc w:val="left"/>
    </w:pPr>
    <w:rPr>
      <w:rFonts w:hint="eastAsia" w:ascii="宋体" w:hAnsi="宋体" w:cs="Arial Unicode MS"/>
      <w:kern w:val="0"/>
      <w:sz w:val="18"/>
      <w:szCs w:val="18"/>
    </w:rPr>
  </w:style>
  <w:style w:type="paragraph" w:customStyle="1" w:styleId="55">
    <w:name w:val="表题"/>
    <w:basedOn w:val="24"/>
    <w:uiPriority w:val="0"/>
    <w:pPr>
      <w:spacing w:before="156" w:beforeLines="50" w:line="480" w:lineRule="exact"/>
      <w:ind w:left="0" w:firstLine="0" w:firstLineChars="0"/>
      <w:jc w:val="center"/>
    </w:pPr>
    <w:rPr>
      <w:rFonts w:eastAsia="黑体"/>
      <w:szCs w:val="24"/>
    </w:rPr>
  </w:style>
  <w:style w:type="paragraph" w:customStyle="1" w:styleId="56">
    <w:name w:val="reader-word-layer reader-word-s1-24"/>
    <w:basedOn w:val="1"/>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57">
    <w:name w:val=" Char1"/>
    <w:basedOn w:val="1"/>
    <w:uiPriority w:val="0"/>
    <w:pPr>
      <w:snapToGrid w:val="0"/>
      <w:spacing w:line="360" w:lineRule="auto"/>
      <w:ind w:firstLine="200" w:firstLineChars="200"/>
    </w:pPr>
    <w:rPr>
      <w:rFonts w:eastAsia="仿宋_GB2312"/>
      <w:sz w:val="24"/>
      <w:szCs w:val="24"/>
    </w:rPr>
  </w:style>
  <w:style w:type="paragraph" w:customStyle="1" w:styleId="58">
    <w:name w:val="表格标题"/>
    <w:basedOn w:val="1"/>
    <w:next w:val="1"/>
    <w:uiPriority w:val="0"/>
    <w:pPr>
      <w:adjustRightInd w:val="0"/>
      <w:spacing w:before="156" w:beforeLines="50" w:after="156" w:afterLines="50" w:line="360" w:lineRule="auto"/>
      <w:jc w:val="center"/>
      <w:textAlignment w:val="baseline"/>
    </w:pPr>
    <w:rPr>
      <w:rFonts w:ascii="宋体" w:hAnsi="宋体"/>
      <w:bCs/>
      <w:snapToGrid w:val="0"/>
      <w:color w:val="000000"/>
      <w:kern w:val="0"/>
      <w:sz w:val="24"/>
      <w:szCs w:val="20"/>
    </w:rPr>
  </w:style>
  <w:style w:type="paragraph" w:customStyle="1" w:styleId="59">
    <w:name w:val="图文框"/>
    <w:basedOn w:val="1"/>
    <w:uiPriority w:val="0"/>
    <w:pPr>
      <w:spacing w:line="0" w:lineRule="atLeast"/>
    </w:pPr>
    <w:rPr>
      <w:rFonts w:ascii="宋体" w:hAnsi="宋体"/>
      <w:sz w:val="21"/>
      <w:szCs w:val="24"/>
    </w:rPr>
  </w:style>
  <w:style w:type="paragraph" w:customStyle="1" w:styleId="60">
    <w:name w:val="Default"/>
    <w:unhideWhenUsed/>
    <w:uiPriority w:val="99"/>
    <w:pPr>
      <w:widowControl w:val="0"/>
      <w:autoSpaceDE w:val="0"/>
      <w:autoSpaceDN w:val="0"/>
    </w:pPr>
    <w:rPr>
      <w:rFonts w:hint="eastAsia" w:ascii="宋体" w:hAnsi="宋体"/>
      <w:color w:val="000000"/>
      <w:sz w:val="24"/>
      <w:lang w:val="en-US" w:eastAsia="zh-CN" w:bidi="ar-SA"/>
    </w:rPr>
  </w:style>
  <w:style w:type="paragraph" w:customStyle="1" w:styleId="61">
    <w:name w:val="默认段落字体 Para Char Char Char1 Char Char Char Char Char Char Char Char Char Char"/>
    <w:basedOn w:val="1"/>
    <w:uiPriority w:val="0"/>
    <w:rPr>
      <w:rFonts w:ascii="宋体"/>
      <w:sz w:val="24"/>
      <w:szCs w:val="24"/>
    </w:rPr>
  </w:style>
  <w:style w:type="paragraph" w:customStyle="1" w:styleId="62">
    <w:name w:val="默认段落字体 Para Char Char Char Char Char Char Char Char Char Char Char Char Char"/>
    <w:basedOn w:val="1"/>
    <w:uiPriority w:val="0"/>
    <w:rPr>
      <w:sz w:val="21"/>
    </w:rPr>
  </w:style>
  <w:style w:type="paragraph" w:customStyle="1" w:styleId="63">
    <w:name w:val="表格"/>
    <w:uiPriority w:val="0"/>
    <w:pPr>
      <w:spacing w:line="380" w:lineRule="exact"/>
      <w:jc w:val="center"/>
    </w:pPr>
    <w:rPr>
      <w:rFonts w:ascii="宋体" w:hAnsi="宋体"/>
      <w:snapToGrid w:val="0"/>
      <w:sz w:val="21"/>
      <w:lang w:val="en-US" w:eastAsia="zh-CN" w:bidi="ar-SA"/>
    </w:rPr>
  </w:style>
  <w:style w:type="paragraph" w:customStyle="1" w:styleId="64">
    <w:name w:val="_Style 45"/>
    <w:basedOn w:val="1"/>
    <w:uiPriority w:val="0"/>
    <w:rPr>
      <w:sz w:val="24"/>
      <w:szCs w:val="24"/>
    </w:rPr>
  </w:style>
  <w:style w:type="paragraph" w:customStyle="1" w:styleId="65">
    <w:name w:val=" Char2 Char Char Char"/>
    <w:basedOn w:val="1"/>
    <w:uiPriority w:val="0"/>
    <w:rPr>
      <w:sz w:val="24"/>
      <w:szCs w:val="24"/>
    </w:rPr>
  </w:style>
  <w:style w:type="character" w:customStyle="1" w:styleId="66">
    <w:name w:val="正文缩进 Char"/>
    <w:link w:val="6"/>
    <w:uiPriority w:val="0"/>
    <w:rPr>
      <w:rFonts w:eastAsia="宋体"/>
      <w:kern w:val="2"/>
      <w:sz w:val="28"/>
      <w:lang w:val="en-US" w:eastAsia="zh-CN" w:bidi="ar-SA"/>
    </w:rPr>
  </w:style>
  <w:style w:type="character" w:customStyle="1" w:styleId="67">
    <w:name w:val="headline-content2"/>
    <w:basedOn w:val="28"/>
    <w:uiPriority w:val="0"/>
  </w:style>
  <w:style w:type="character" w:customStyle="1" w:styleId="68">
    <w:name w:val="表格内容 Char"/>
    <w:link w:val="48"/>
    <w:uiPriority w:val="0"/>
    <w:rPr>
      <w:rFonts w:eastAsia="宋体"/>
      <w:snapToGrid w:val="0"/>
      <w:color w:val="000000"/>
      <w:sz w:val="21"/>
      <w:szCs w:val="21"/>
      <w:lang w:val="en-US" w:eastAsia="zh-CN" w:bidi="ar-SA"/>
    </w:rPr>
  </w:style>
  <w:style w:type="character" w:customStyle="1" w:styleId="69">
    <w:name w:val="表格文字 Char1"/>
    <w:link w:val="36"/>
    <w:uiPriority w:val="0"/>
    <w:rPr>
      <w:rFonts w:ascii="仿宋_GB2312" w:hAnsi="Arial Black" w:eastAsia="仿宋_GB2312"/>
      <w:kern w:val="44"/>
      <w:sz w:val="24"/>
      <w:lang w:val="en-US" w:eastAsia="zh-CN" w:bidi="ar-SA"/>
    </w:rPr>
  </w:style>
  <w:style w:type="character" w:customStyle="1" w:styleId="70">
    <w:name w:val="表 Char Char"/>
    <w:link w:val="53"/>
    <w:uiPriority w:val="0"/>
    <w:rPr>
      <w:kern w:val="2"/>
      <w:sz w:val="21"/>
    </w:rPr>
  </w:style>
  <w:style w:type="character" w:customStyle="1" w:styleId="71">
    <w:name w:val="wz1"/>
    <w:uiPriority w:val="0"/>
    <w:rPr>
      <w:color w:val="006666"/>
      <w:sz w:val="20"/>
      <w:szCs w:val="20"/>
    </w:rPr>
  </w:style>
  <w:style w:type="character" w:customStyle="1" w:styleId="72">
    <w:name w:val="text_new1"/>
    <w:uiPriority w:val="0"/>
    <w:rPr>
      <w:color w:val="000000"/>
      <w:spacing w:val="14"/>
      <w:sz w:val="19"/>
      <w:szCs w:val="19"/>
      <w:u w:val="none"/>
    </w:rPr>
  </w:style>
  <w:style w:type="character" w:customStyle="1" w:styleId="73">
    <w:name w:val="表格内容 Char Char"/>
    <w:uiPriority w:val="0"/>
    <w:rPr>
      <w:rFonts w:ascii="Arial" w:hAnsi="Arial" w:eastAsia="仿宋_GB2312"/>
      <w:sz w:val="24"/>
      <w:lang w:val="en-US" w:eastAsia="zh-CN" w:bidi="ar-SA"/>
    </w:rPr>
  </w:style>
  <w:style w:type="character" w:customStyle="1" w:styleId="74">
    <w:name w:val="纯文本 Char"/>
    <w:link w:val="19"/>
    <w:uiPriority w:val="0"/>
    <w:rPr>
      <w:rFonts w:ascii="宋体" w:hAnsi="Courier New" w:cs="Courier New"/>
      <w:kern w:val="2"/>
      <w:sz w:val="21"/>
      <w:szCs w:val="21"/>
    </w:rPr>
  </w:style>
  <w:style w:type="character" w:customStyle="1" w:styleId="75">
    <w:name w:val="新正文 Char Char"/>
    <w:link w:val="52"/>
    <w:uiPriority w:val="0"/>
    <w:rPr>
      <w:rFonts w:ascii="仿宋_GB2312" w:eastAsia="仿宋_GB2312"/>
      <w:bCs/>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9.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8.bin"/><Relationship Id="rId27" Type="http://schemas.openxmlformats.org/officeDocument/2006/relationships/image" Target="media/image7.wmf"/><Relationship Id="rId26" Type="http://schemas.openxmlformats.org/officeDocument/2006/relationships/oleObject" Target="embeddings/oleObject7.bin"/><Relationship Id="rId25" Type="http://schemas.openxmlformats.org/officeDocument/2006/relationships/image" Target="media/image6.wmf"/><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oleObject" Target="embeddings/oleObject3.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4.emf"/><Relationship Id="rId17" Type="http://schemas.openxmlformats.org/officeDocument/2006/relationships/image" Target="media/image3.emf"/><Relationship Id="rId16" Type="http://schemas.openxmlformats.org/officeDocument/2006/relationships/image" Target="media/image2.emf"/><Relationship Id="rId15" Type="http://schemas.openxmlformats.org/officeDocument/2006/relationships/oleObject" Target="embeddings/oleObject1.bin"/><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hbx</Company>
  <Pages>38</Pages>
  <Words>19053</Words>
  <Characters>21351</Characters>
  <Lines>168</Lines>
  <Paragraphs>47</Paragraphs>
  <ScaleCrop>false</ScaleCrop>
  <LinksUpToDate>false</LinksUpToDate>
  <CharactersWithSpaces>23675</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陈新</cp:category>
  <dcterms:created xsi:type="dcterms:W3CDTF">2013-09-05T03:28:00Z</dcterms:created>
  <dc:creator>环境评价室</dc:creator>
  <cp:lastModifiedBy>thinkpad</cp:lastModifiedBy>
  <cp:lastPrinted>2014-06-05T04:13:00Z</cp:lastPrinted>
  <dcterms:modified xsi:type="dcterms:W3CDTF">2016-03-10T08:35:46Z</dcterms:modified>
  <dc:title>广阳金属</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1687681681</vt:r8>
  </property>
  <property fmtid="{D5CDD505-2E9C-101B-9397-08002B2CF9AE}" pid="3" name="_EmailSubject">
    <vt:lpwstr>史密斯航空机件环评初稿.doc</vt:lpwstr>
  </property>
  <property fmtid="{D5CDD505-2E9C-101B-9397-08002B2CF9AE}" pid="4" name="_AuthorEmail">
    <vt:lpwstr>wangjames@smiths-suzhou.com</vt:lpwstr>
  </property>
  <property fmtid="{D5CDD505-2E9C-101B-9397-08002B2CF9AE}" pid="5" name="_AuthorEmailDisplayName">
    <vt:lpwstr>James, Wang(SACS)</vt:lpwstr>
  </property>
  <property fmtid="{D5CDD505-2E9C-101B-9397-08002B2CF9AE}" pid="6" name="_ReviewingToolsShownOnce">
    <vt:lpwstr/>
  </property>
  <property fmtid="{D5CDD505-2E9C-101B-9397-08002B2CF9AE}" pid="7" name="KSOProductBuildVer">
    <vt:lpwstr>2052-10.1.0.5511</vt:lpwstr>
  </property>
</Properties>
</file>